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05428" w14:textId="77777777" w:rsidR="007B1859" w:rsidRPr="007B1859" w:rsidRDefault="007B1859" w:rsidP="007B1859">
      <w:pPr>
        <w:ind w:left="-540" w:right="-720" w:hanging="630"/>
        <w:rPr>
          <w:rFonts w:asciiTheme="majorHAnsi" w:hAnsiTheme="majorHAnsi" w:cstheme="majorHAnsi"/>
          <w:b/>
          <w:color w:val="1F3864"/>
          <w:sz w:val="24"/>
          <w:szCs w:val="24"/>
        </w:rPr>
      </w:pPr>
      <w:r w:rsidRPr="007B1859">
        <w:rPr>
          <w:rFonts w:asciiTheme="majorHAnsi" w:hAnsiTheme="majorHAnsi" w:cstheme="majorHAnsi"/>
          <w:b/>
          <w:noProof/>
          <w:color w:val="1F3864"/>
          <w:sz w:val="24"/>
          <w:szCs w:val="24"/>
        </w:rPr>
        <w:drawing>
          <wp:inline distT="0" distB="0" distL="0" distR="0" wp14:anchorId="6F6E2400" wp14:editId="6F6817CC">
            <wp:extent cx="6027396" cy="725043"/>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1" cstate="print"/>
                    <a:stretch>
                      <a:fillRect/>
                    </a:stretch>
                  </pic:blipFill>
                  <pic:spPr>
                    <a:xfrm>
                      <a:off x="0" y="0"/>
                      <a:ext cx="6027396" cy="725043"/>
                    </a:xfrm>
                    <a:prstGeom prst="rect">
                      <a:avLst/>
                    </a:prstGeom>
                  </pic:spPr>
                </pic:pic>
              </a:graphicData>
            </a:graphic>
          </wp:inline>
        </w:drawing>
      </w:r>
    </w:p>
    <w:p w14:paraId="0D1548D9" w14:textId="02B27AE9" w:rsidR="007B1859" w:rsidRPr="007B1859" w:rsidRDefault="007B1859" w:rsidP="007B1859">
      <w:pPr>
        <w:spacing w:before="240" w:after="0" w:line="240" w:lineRule="auto"/>
        <w:ind w:left="-540" w:right="-720" w:hanging="630"/>
        <w:jc w:val="center"/>
        <w:rPr>
          <w:rFonts w:asciiTheme="majorHAnsi" w:hAnsiTheme="majorHAnsi" w:cstheme="majorHAnsi"/>
          <w:b/>
          <w:sz w:val="24"/>
          <w:szCs w:val="24"/>
        </w:rPr>
      </w:pPr>
      <w:r w:rsidRPr="007B1859">
        <w:rPr>
          <w:rFonts w:asciiTheme="majorHAnsi" w:hAnsiTheme="majorHAnsi" w:cstheme="majorHAnsi"/>
          <w:b/>
          <w:noProof/>
          <w:color w:val="1F3864"/>
          <w:sz w:val="24"/>
          <w:szCs w:val="24"/>
        </w:rPr>
        <mc:AlternateContent>
          <mc:Choice Requires="wpg">
            <w:drawing>
              <wp:anchor distT="0" distB="0" distL="0" distR="0" simplePos="0" relativeHeight="251658240" behindDoc="1" locked="0" layoutInCell="1" allowOverlap="1" wp14:anchorId="0765DA6F" wp14:editId="69798866">
                <wp:simplePos x="0" y="0"/>
                <wp:positionH relativeFrom="margin">
                  <wp:align>center</wp:align>
                </wp:positionH>
                <wp:positionV relativeFrom="paragraph">
                  <wp:posOffset>174039</wp:posOffset>
                </wp:positionV>
                <wp:extent cx="5984875" cy="239395"/>
                <wp:effectExtent l="0" t="0" r="0" b="8255"/>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4875" cy="239395"/>
                          <a:chOff x="0" y="0"/>
                          <a:chExt cx="5984875" cy="239395"/>
                        </a:xfrm>
                      </wpg:grpSpPr>
                      <wps:wsp>
                        <wps:cNvPr id="3" name="Graphic 3"/>
                        <wps:cNvSpPr/>
                        <wps:spPr>
                          <a:xfrm>
                            <a:off x="0" y="0"/>
                            <a:ext cx="5984875" cy="239395"/>
                          </a:xfrm>
                          <a:custGeom>
                            <a:avLst/>
                            <a:gdLst/>
                            <a:ahLst/>
                            <a:cxnLst/>
                            <a:rect l="l" t="t" r="r" b="b"/>
                            <a:pathLst>
                              <a:path w="5984875" h="239395">
                                <a:moveTo>
                                  <a:pt x="5984748" y="0"/>
                                </a:moveTo>
                                <a:lnTo>
                                  <a:pt x="0" y="0"/>
                                </a:lnTo>
                                <a:lnTo>
                                  <a:pt x="0" y="239268"/>
                                </a:lnTo>
                                <a:lnTo>
                                  <a:pt x="5984748" y="239268"/>
                                </a:lnTo>
                                <a:lnTo>
                                  <a:pt x="598474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12" cstate="print"/>
                          <a:stretch>
                            <a:fillRect/>
                          </a:stretch>
                        </pic:blipFill>
                        <pic:spPr>
                          <a:xfrm>
                            <a:off x="1898904" y="67056"/>
                            <a:ext cx="96012" cy="100583"/>
                          </a:xfrm>
                          <a:prstGeom prst="rect">
                            <a:avLst/>
                          </a:prstGeom>
                        </pic:spPr>
                      </pic:pic>
                      <pic:pic xmlns:pic="http://schemas.openxmlformats.org/drawingml/2006/picture">
                        <pic:nvPicPr>
                          <pic:cNvPr id="5" name="Image 5"/>
                          <pic:cNvPicPr/>
                        </pic:nvPicPr>
                        <pic:blipFill>
                          <a:blip r:embed="rId13" cstate="print"/>
                          <a:stretch>
                            <a:fillRect/>
                          </a:stretch>
                        </pic:blipFill>
                        <pic:spPr>
                          <a:xfrm>
                            <a:off x="2189988" y="67056"/>
                            <a:ext cx="83819" cy="100583"/>
                          </a:xfrm>
                          <a:prstGeom prst="rect">
                            <a:avLst/>
                          </a:prstGeom>
                        </pic:spPr>
                      </pic:pic>
                      <pic:pic xmlns:pic="http://schemas.openxmlformats.org/drawingml/2006/picture">
                        <pic:nvPicPr>
                          <pic:cNvPr id="6" name="Image 6"/>
                          <pic:cNvPicPr/>
                        </pic:nvPicPr>
                        <pic:blipFill>
                          <a:blip r:embed="rId14" cstate="print"/>
                          <a:stretch>
                            <a:fillRect/>
                          </a:stretch>
                        </pic:blipFill>
                        <pic:spPr>
                          <a:xfrm>
                            <a:off x="2051304" y="67056"/>
                            <a:ext cx="83819" cy="100583"/>
                          </a:xfrm>
                          <a:prstGeom prst="rect">
                            <a:avLst/>
                          </a:prstGeom>
                        </pic:spPr>
                      </pic:pic>
                      <pic:pic xmlns:pic="http://schemas.openxmlformats.org/drawingml/2006/picture">
                        <pic:nvPicPr>
                          <pic:cNvPr id="7" name="Image 7"/>
                          <pic:cNvPicPr/>
                        </pic:nvPicPr>
                        <pic:blipFill>
                          <a:blip r:embed="rId15" cstate="print"/>
                          <a:stretch>
                            <a:fillRect/>
                          </a:stretch>
                        </pic:blipFill>
                        <pic:spPr>
                          <a:xfrm>
                            <a:off x="2328672" y="67310"/>
                            <a:ext cx="74675" cy="100329"/>
                          </a:xfrm>
                          <a:prstGeom prst="rect">
                            <a:avLst/>
                          </a:prstGeom>
                        </pic:spPr>
                      </pic:pic>
                      <pic:pic xmlns:pic="http://schemas.openxmlformats.org/drawingml/2006/picture">
                        <pic:nvPicPr>
                          <pic:cNvPr id="8" name="Image 8"/>
                          <pic:cNvPicPr/>
                        </pic:nvPicPr>
                        <pic:blipFill>
                          <a:blip r:embed="rId16" cstate="print"/>
                          <a:stretch>
                            <a:fillRect/>
                          </a:stretch>
                        </pic:blipFill>
                        <pic:spPr>
                          <a:xfrm>
                            <a:off x="2458211" y="67057"/>
                            <a:ext cx="79248" cy="100582"/>
                          </a:xfrm>
                          <a:prstGeom prst="rect">
                            <a:avLst/>
                          </a:prstGeom>
                        </pic:spPr>
                      </pic:pic>
                      <pic:pic xmlns:pic="http://schemas.openxmlformats.org/drawingml/2006/picture">
                        <pic:nvPicPr>
                          <pic:cNvPr id="9" name="Image 9"/>
                          <pic:cNvPicPr/>
                        </pic:nvPicPr>
                        <pic:blipFill>
                          <a:blip r:embed="rId17" cstate="print"/>
                          <a:stretch>
                            <a:fillRect/>
                          </a:stretch>
                        </pic:blipFill>
                        <pic:spPr>
                          <a:xfrm>
                            <a:off x="2598420" y="67056"/>
                            <a:ext cx="83820" cy="100583"/>
                          </a:xfrm>
                          <a:prstGeom prst="rect">
                            <a:avLst/>
                          </a:prstGeom>
                        </pic:spPr>
                      </pic:pic>
                      <pic:pic xmlns:pic="http://schemas.openxmlformats.org/drawingml/2006/picture">
                        <pic:nvPicPr>
                          <pic:cNvPr id="10" name="Image 10"/>
                          <pic:cNvPicPr/>
                        </pic:nvPicPr>
                        <pic:blipFill>
                          <a:blip r:embed="rId18" cstate="print"/>
                          <a:stretch>
                            <a:fillRect/>
                          </a:stretch>
                        </pic:blipFill>
                        <pic:spPr>
                          <a:xfrm>
                            <a:off x="2735579" y="67056"/>
                            <a:ext cx="79248" cy="102107"/>
                          </a:xfrm>
                          <a:prstGeom prst="rect">
                            <a:avLst/>
                          </a:prstGeom>
                        </pic:spPr>
                      </pic:pic>
                      <pic:pic xmlns:pic="http://schemas.openxmlformats.org/drawingml/2006/picture">
                        <pic:nvPicPr>
                          <pic:cNvPr id="11" name="Image 11"/>
                          <pic:cNvPicPr/>
                        </pic:nvPicPr>
                        <pic:blipFill>
                          <a:blip r:embed="rId19" cstate="print"/>
                          <a:stretch>
                            <a:fillRect/>
                          </a:stretch>
                        </pic:blipFill>
                        <pic:spPr>
                          <a:xfrm>
                            <a:off x="2871216" y="67057"/>
                            <a:ext cx="96012" cy="100582"/>
                          </a:xfrm>
                          <a:prstGeom prst="rect">
                            <a:avLst/>
                          </a:prstGeom>
                        </pic:spPr>
                      </pic:pic>
                      <pic:pic xmlns:pic="http://schemas.openxmlformats.org/drawingml/2006/picture">
                        <pic:nvPicPr>
                          <pic:cNvPr id="12" name="Image 12"/>
                          <pic:cNvPicPr/>
                        </pic:nvPicPr>
                        <pic:blipFill>
                          <a:blip r:embed="rId20" cstate="print"/>
                          <a:stretch>
                            <a:fillRect/>
                          </a:stretch>
                        </pic:blipFill>
                        <pic:spPr>
                          <a:xfrm>
                            <a:off x="3095244" y="67057"/>
                            <a:ext cx="79248" cy="100582"/>
                          </a:xfrm>
                          <a:prstGeom prst="rect">
                            <a:avLst/>
                          </a:prstGeom>
                        </pic:spPr>
                      </pic:pic>
                      <pic:pic xmlns:pic="http://schemas.openxmlformats.org/drawingml/2006/picture">
                        <pic:nvPicPr>
                          <pic:cNvPr id="13" name="Image 13"/>
                          <pic:cNvPicPr/>
                        </pic:nvPicPr>
                        <pic:blipFill>
                          <a:blip r:embed="rId18" cstate="print"/>
                          <a:stretch>
                            <a:fillRect/>
                          </a:stretch>
                        </pic:blipFill>
                        <pic:spPr>
                          <a:xfrm>
                            <a:off x="3235451" y="67056"/>
                            <a:ext cx="79248" cy="102107"/>
                          </a:xfrm>
                          <a:prstGeom prst="rect">
                            <a:avLst/>
                          </a:prstGeom>
                        </pic:spPr>
                      </pic:pic>
                      <pic:pic xmlns:pic="http://schemas.openxmlformats.org/drawingml/2006/picture">
                        <pic:nvPicPr>
                          <pic:cNvPr id="14" name="Image 14"/>
                          <pic:cNvPicPr/>
                        </pic:nvPicPr>
                        <pic:blipFill>
                          <a:blip r:embed="rId21" cstate="print"/>
                          <a:stretch>
                            <a:fillRect/>
                          </a:stretch>
                        </pic:blipFill>
                        <pic:spPr>
                          <a:xfrm>
                            <a:off x="3372611" y="67057"/>
                            <a:ext cx="96012" cy="100582"/>
                          </a:xfrm>
                          <a:prstGeom prst="rect">
                            <a:avLst/>
                          </a:prstGeom>
                        </pic:spPr>
                      </pic:pic>
                      <pic:pic xmlns:pic="http://schemas.openxmlformats.org/drawingml/2006/picture">
                        <pic:nvPicPr>
                          <pic:cNvPr id="15" name="Image 15"/>
                          <pic:cNvPicPr/>
                        </pic:nvPicPr>
                        <pic:blipFill>
                          <a:blip r:embed="rId22" cstate="print"/>
                          <a:stretch>
                            <a:fillRect/>
                          </a:stretch>
                        </pic:blipFill>
                        <pic:spPr>
                          <a:xfrm>
                            <a:off x="3529584" y="67056"/>
                            <a:ext cx="83820" cy="100583"/>
                          </a:xfrm>
                          <a:prstGeom prst="rect">
                            <a:avLst/>
                          </a:prstGeom>
                        </pic:spPr>
                      </pic:pic>
                      <pic:pic xmlns:pic="http://schemas.openxmlformats.org/drawingml/2006/picture">
                        <pic:nvPicPr>
                          <pic:cNvPr id="16" name="Image 16"/>
                          <pic:cNvPicPr/>
                        </pic:nvPicPr>
                        <pic:blipFill>
                          <a:blip r:embed="rId15" cstate="print"/>
                          <a:stretch>
                            <a:fillRect/>
                          </a:stretch>
                        </pic:blipFill>
                        <pic:spPr>
                          <a:xfrm>
                            <a:off x="3669791" y="67310"/>
                            <a:ext cx="74675" cy="100329"/>
                          </a:xfrm>
                          <a:prstGeom prst="rect">
                            <a:avLst/>
                          </a:prstGeom>
                        </pic:spPr>
                      </pic:pic>
                      <pic:pic xmlns:pic="http://schemas.openxmlformats.org/drawingml/2006/picture">
                        <pic:nvPicPr>
                          <pic:cNvPr id="17" name="Image 17"/>
                          <pic:cNvPicPr/>
                        </pic:nvPicPr>
                        <pic:blipFill>
                          <a:blip r:embed="rId23" cstate="print"/>
                          <a:stretch>
                            <a:fillRect/>
                          </a:stretch>
                        </pic:blipFill>
                        <pic:spPr>
                          <a:xfrm>
                            <a:off x="3797808" y="67056"/>
                            <a:ext cx="251460" cy="128016"/>
                          </a:xfrm>
                          <a:prstGeom prst="rect">
                            <a:avLst/>
                          </a:prstGeom>
                        </pic:spPr>
                      </pic:pic>
                      <wps:wsp>
                        <wps:cNvPr id="18" name="Graphic 18"/>
                        <wps:cNvSpPr/>
                        <wps:spPr>
                          <a:xfrm>
                            <a:off x="4072128" y="67056"/>
                            <a:ext cx="44450" cy="100965"/>
                          </a:xfrm>
                          <a:custGeom>
                            <a:avLst/>
                            <a:gdLst/>
                            <a:ahLst/>
                            <a:cxnLst/>
                            <a:rect l="l" t="t" r="r" b="b"/>
                            <a:pathLst>
                              <a:path w="44450" h="100965">
                                <a:moveTo>
                                  <a:pt x="44196" y="0"/>
                                </a:moveTo>
                                <a:lnTo>
                                  <a:pt x="28956" y="0"/>
                                </a:lnTo>
                                <a:lnTo>
                                  <a:pt x="22860" y="12191"/>
                                </a:lnTo>
                                <a:lnTo>
                                  <a:pt x="10668" y="21335"/>
                                </a:lnTo>
                                <a:lnTo>
                                  <a:pt x="4572" y="24383"/>
                                </a:lnTo>
                                <a:lnTo>
                                  <a:pt x="0" y="25907"/>
                                </a:lnTo>
                                <a:lnTo>
                                  <a:pt x="0" y="45719"/>
                                </a:lnTo>
                                <a:lnTo>
                                  <a:pt x="6604" y="42798"/>
                                </a:lnTo>
                                <a:lnTo>
                                  <a:pt x="12700" y="38988"/>
                                </a:lnTo>
                                <a:lnTo>
                                  <a:pt x="18669" y="34289"/>
                                </a:lnTo>
                                <a:lnTo>
                                  <a:pt x="24384" y="28955"/>
                                </a:lnTo>
                                <a:lnTo>
                                  <a:pt x="24384" y="100583"/>
                                </a:lnTo>
                                <a:lnTo>
                                  <a:pt x="44196" y="100583"/>
                                </a:lnTo>
                                <a:lnTo>
                                  <a:pt x="44196"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34FBF58" id="Group 2" o:spid="_x0000_s1026" style="position:absolute;margin-left:0;margin-top:13.7pt;width:471.25pt;height:18.85pt;z-index:-251658240;mso-wrap-distance-left:0;mso-wrap-distance-right:0;mso-position-horizontal:center;mso-position-horizontal-relative:margin" coordsize="59848,23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">
                <v:shape id="Graphic 3" o:spid="_x0000_s1027" style="position:absolute;width:59848;height:2393;visibility:visible;mso-wrap-style:square;v-text-anchor:top" coordsize="598487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" path="m5984748,l,,,239268r5984748,l5984748,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18989;top:670;width:960;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">
                  <v:imagedata r:id="rId24" o:title=""/>
                </v:shape>
                <v:shape id="Image 5" o:spid="_x0000_s1029" type="#_x0000_t75" style="position:absolute;left:21899;top:670;width:839;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">
                  <v:imagedata r:id="rId25" o:title=""/>
                </v:shape>
                <v:shape id="Image 6" o:spid="_x0000_s1030" type="#_x0000_t75" style="position:absolute;left:20513;top:670;width:838;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">
                  <v:imagedata r:id="rId26" o:title=""/>
                </v:shape>
                <v:shape id="Image 7" o:spid="_x0000_s1031" type="#_x0000_t75" style="position:absolute;left:23286;top:673;width:747;height:1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">
                  <v:imagedata r:id="rId27" o:title=""/>
                </v:shape>
                <v:shape id="Image 8" o:spid="_x0000_s1032" type="#_x0000_t75" style="position:absolute;left:24582;top:670;width:792;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">
                  <v:imagedata r:id="rId28" o:title=""/>
                </v:shape>
                <v:shape id="Image 9" o:spid="_x0000_s1033" type="#_x0000_t75" style="position:absolute;left:25984;top:670;width:838;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">
                  <v:imagedata r:id="rId29" o:title=""/>
                </v:shape>
                <v:shape id="Image 10" o:spid="_x0000_s1034" type="#_x0000_t75" style="position:absolute;left:27355;top:670;width:793;height:1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">
                  <v:imagedata r:id="rId30" o:title=""/>
                </v:shape>
                <v:shape id="Image 11" o:spid="_x0000_s1035" type="#_x0000_t75" style="position:absolute;left:28712;top:670;width:960;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">
                  <v:imagedata r:id="rId31" o:title=""/>
                </v:shape>
                <v:shape id="Image 12" o:spid="_x0000_s1036" type="#_x0000_t75" style="position:absolute;left:30952;top:670;width:792;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">
                  <v:imagedata r:id="rId32" o:title=""/>
                </v:shape>
                <v:shape id="Image 13" o:spid="_x0000_s1037" type="#_x0000_t75" style="position:absolute;left:32354;top:670;width:792;height:1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">
                  <v:imagedata r:id="rId30" o:title=""/>
                </v:shape>
                <v:shape id="Image 14" o:spid="_x0000_s1038" type="#_x0000_t75" style="position:absolute;left:33726;top:670;width:960;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">
                  <v:imagedata r:id="rId33" o:title=""/>
                </v:shape>
                <v:shape id="Image 15" o:spid="_x0000_s1039" type="#_x0000_t75" style="position:absolute;left:35295;top:670;width:839;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">
                  <v:imagedata r:id="rId34" o:title=""/>
                </v:shape>
                <v:shape id="Image 16" o:spid="_x0000_s1040" type="#_x0000_t75" style="position:absolute;left:36697;top:673;width:747;height:1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">
                  <v:imagedata r:id="rId27" o:title=""/>
                </v:shape>
                <v:shape id="Image 17" o:spid="_x0000_s1041" type="#_x0000_t75" style="position:absolute;left:37978;top:670;width:2514;height:1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">
                  <v:imagedata r:id="rId35" o:title=""/>
                </v:shape>
                <v:shape id="Graphic 18" o:spid="_x0000_s1042" style="position:absolute;left:40721;top:670;width:444;height:1010;visibility:visible;mso-wrap-style:square;v-text-anchor:top" coordsize="44450,100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" path="m44196,l28956,,22860,12191,10668,21335,4572,24383,,25907,,45719,6604,42798r6096,-3810l18669,34289r5715,-5334l24384,100583r19812,l44196,xe" stroked="f">
                  <v:path arrowok="t"/>
                </v:shape>
                <w10:wrap type="topAndBottom" anchorx="margin"/>
              </v:group>
            </w:pict>
          </mc:Fallback>
        </mc:AlternateContent>
      </w:r>
      <w:r w:rsidRPr="007B1859">
        <w:rPr>
          <w:rFonts w:asciiTheme="majorHAnsi" w:hAnsiTheme="majorHAnsi" w:cstheme="majorHAnsi"/>
          <w:b/>
          <w:sz w:val="24"/>
          <w:szCs w:val="24"/>
        </w:rPr>
        <w:t>November 6</w:t>
      </w:r>
      <w:r w:rsidRPr="007B1859">
        <w:rPr>
          <w:rFonts w:asciiTheme="majorHAnsi" w:hAnsiTheme="majorHAnsi" w:cstheme="majorHAnsi"/>
          <w:b/>
          <w:sz w:val="24"/>
          <w:szCs w:val="24"/>
          <w:vertAlign w:val="superscript"/>
        </w:rPr>
        <w:t>th</w:t>
      </w:r>
      <w:r w:rsidRPr="007B1859">
        <w:rPr>
          <w:rFonts w:asciiTheme="majorHAnsi" w:hAnsiTheme="majorHAnsi" w:cstheme="majorHAnsi"/>
          <w:b/>
          <w:sz w:val="24"/>
          <w:szCs w:val="24"/>
        </w:rPr>
        <w:t>, 2026</w:t>
      </w:r>
    </w:p>
    <w:p w14:paraId="04987358" w14:textId="77777777" w:rsidR="007B1859" w:rsidRPr="007B1859" w:rsidRDefault="007B1859" w:rsidP="007B1859">
      <w:pPr>
        <w:spacing w:after="0" w:line="240" w:lineRule="auto"/>
        <w:ind w:left="-540" w:right="-720" w:hanging="630"/>
        <w:jc w:val="center"/>
        <w:rPr>
          <w:rFonts w:asciiTheme="majorHAnsi" w:hAnsiTheme="majorHAnsi" w:cstheme="majorHAnsi"/>
          <w:b/>
          <w:sz w:val="24"/>
          <w:szCs w:val="24"/>
        </w:rPr>
      </w:pPr>
      <w:r w:rsidRPr="007B1859">
        <w:rPr>
          <w:rFonts w:asciiTheme="majorHAnsi" w:hAnsiTheme="majorHAnsi" w:cstheme="majorHAnsi"/>
          <w:b/>
          <w:sz w:val="24"/>
          <w:szCs w:val="24"/>
        </w:rPr>
        <w:t>REQUEST FOR PROPOSAL</w:t>
      </w:r>
      <w:r w:rsidRPr="007B1859">
        <w:rPr>
          <w:rFonts w:asciiTheme="majorHAnsi" w:hAnsiTheme="majorHAnsi" w:cstheme="majorHAnsi"/>
          <w:b/>
          <w:bCs/>
          <w:sz w:val="24"/>
          <w:szCs w:val="24"/>
        </w:rPr>
        <w:t xml:space="preserve"> ("RFP") No. 411</w:t>
      </w:r>
    </w:p>
    <w:p w14:paraId="678DA785" w14:textId="77777777" w:rsidR="007B1859" w:rsidRPr="007B1859" w:rsidRDefault="007B1859" w:rsidP="007B1859">
      <w:pPr>
        <w:spacing w:after="0" w:line="240" w:lineRule="auto"/>
        <w:ind w:left="-540" w:right="-720" w:hanging="630"/>
        <w:jc w:val="center"/>
        <w:rPr>
          <w:rFonts w:asciiTheme="majorHAnsi" w:hAnsiTheme="majorHAnsi" w:cstheme="majorHAnsi"/>
          <w:b/>
          <w:i/>
          <w:iCs/>
          <w:sz w:val="24"/>
          <w:szCs w:val="24"/>
        </w:rPr>
      </w:pPr>
      <w:r w:rsidRPr="007B1859">
        <w:rPr>
          <w:rFonts w:asciiTheme="majorHAnsi" w:hAnsiTheme="majorHAnsi" w:cstheme="majorHAnsi"/>
          <w:b/>
          <w:i/>
          <w:iCs/>
          <w:sz w:val="24"/>
          <w:szCs w:val="24"/>
        </w:rPr>
        <w:t>eProcurement and Contract Management Solution</w:t>
      </w:r>
    </w:p>
    <w:p w14:paraId="40608E21" w14:textId="77777777" w:rsidR="007B1859" w:rsidRPr="007B1859" w:rsidRDefault="007B1859" w:rsidP="007B1859">
      <w:pPr>
        <w:spacing w:after="0" w:line="240" w:lineRule="auto"/>
        <w:ind w:left="-540" w:right="-720" w:hanging="630"/>
        <w:jc w:val="center"/>
        <w:rPr>
          <w:rFonts w:asciiTheme="majorHAnsi" w:hAnsiTheme="majorHAnsi" w:cstheme="majorHAnsi"/>
          <w:b/>
          <w:sz w:val="24"/>
          <w:szCs w:val="24"/>
        </w:rPr>
      </w:pPr>
      <w:r w:rsidRPr="007B1859">
        <w:rPr>
          <w:rFonts w:asciiTheme="majorHAnsi" w:hAnsiTheme="majorHAnsi" w:cstheme="majorHAnsi"/>
          <w:b/>
          <w:bCs/>
          <w:sz w:val="24"/>
          <w:szCs w:val="24"/>
        </w:rPr>
        <w:t>PROPOSAL DEADLINE:</w:t>
      </w:r>
      <w:r w:rsidRPr="007B1859">
        <w:rPr>
          <w:rFonts w:asciiTheme="majorHAnsi" w:hAnsiTheme="majorHAnsi" w:cstheme="majorHAnsi"/>
          <w:b/>
          <w:sz w:val="24"/>
          <w:szCs w:val="24"/>
        </w:rPr>
        <w:t xml:space="preserve"> Friday, November 13</w:t>
      </w:r>
      <w:r w:rsidRPr="007B1859">
        <w:rPr>
          <w:rFonts w:asciiTheme="majorHAnsi" w:hAnsiTheme="majorHAnsi" w:cstheme="majorHAnsi"/>
          <w:b/>
          <w:sz w:val="24"/>
          <w:szCs w:val="24"/>
          <w:vertAlign w:val="superscript"/>
        </w:rPr>
        <w:t>th</w:t>
      </w:r>
      <w:r w:rsidRPr="007B1859">
        <w:rPr>
          <w:rFonts w:asciiTheme="majorHAnsi" w:hAnsiTheme="majorHAnsi" w:cstheme="majorHAnsi"/>
          <w:b/>
          <w:sz w:val="24"/>
          <w:szCs w:val="24"/>
        </w:rPr>
        <w:t>, 2026, 2:00 PM (Central)</w:t>
      </w:r>
    </w:p>
    <w:p w14:paraId="533968A5" w14:textId="77777777" w:rsidR="007B1859" w:rsidRPr="007B1859" w:rsidRDefault="007B1859" w:rsidP="007B1859">
      <w:pPr>
        <w:spacing w:after="0" w:line="240" w:lineRule="auto"/>
        <w:ind w:left="-540" w:right="-720" w:hanging="630"/>
        <w:jc w:val="center"/>
        <w:rPr>
          <w:rFonts w:asciiTheme="majorHAnsi" w:hAnsiTheme="majorHAnsi" w:cstheme="majorHAnsi"/>
          <w:b/>
          <w:sz w:val="24"/>
          <w:szCs w:val="24"/>
        </w:rPr>
      </w:pPr>
      <w:r w:rsidRPr="007B1859">
        <w:rPr>
          <w:rFonts w:asciiTheme="majorHAnsi" w:hAnsiTheme="majorHAnsi" w:cstheme="majorHAnsi"/>
          <w:b/>
          <w:sz w:val="24"/>
          <w:szCs w:val="24"/>
        </w:rPr>
        <w:t>Chicago Metropolitan Agency for Planning Procurement</w:t>
      </w:r>
    </w:p>
    <w:p w14:paraId="5C7067EB" w14:textId="1538C6F7" w:rsidR="007B1859" w:rsidRPr="007B1859" w:rsidRDefault="00FA4247" w:rsidP="007B1859">
      <w:pPr>
        <w:spacing w:after="0" w:line="240" w:lineRule="auto"/>
        <w:ind w:left="-540" w:right="-720" w:hanging="630"/>
        <w:jc w:val="center"/>
        <w:rPr>
          <w:rFonts w:asciiTheme="majorHAnsi" w:hAnsiTheme="majorHAnsi" w:cstheme="majorHAnsi"/>
          <w:b/>
          <w:sz w:val="24"/>
          <w:szCs w:val="24"/>
        </w:rPr>
      </w:pPr>
      <w:hyperlink r:id="rId36" w:history="1">
        <w:r w:rsidRPr="007B1859">
          <w:rPr>
            <w:rStyle w:val="Hyperlink"/>
            <w:rFonts w:asciiTheme="majorHAnsi" w:hAnsiTheme="majorHAnsi" w:cstheme="majorHAnsi"/>
            <w:b/>
            <w:sz w:val="24"/>
            <w:szCs w:val="24"/>
          </w:rPr>
          <w:t>procurements@cmap.illinois.</w:t>
        </w:r>
        <w:r w:rsidRPr="008C4270">
          <w:rPr>
            <w:rStyle w:val="Hyperlink"/>
            <w:rFonts w:asciiTheme="majorHAnsi" w:hAnsiTheme="majorHAnsi" w:cstheme="majorHAnsi"/>
            <w:b/>
            <w:sz w:val="24"/>
            <w:szCs w:val="24"/>
          </w:rPr>
          <w:t>gov</w:t>
        </w:r>
      </w:hyperlink>
      <w:r>
        <w:rPr>
          <w:rFonts w:asciiTheme="majorHAnsi" w:hAnsiTheme="majorHAnsi" w:cstheme="majorHAnsi"/>
          <w:b/>
          <w:sz w:val="24"/>
          <w:szCs w:val="24"/>
        </w:rPr>
        <w:t xml:space="preserve"> </w:t>
      </w:r>
    </w:p>
    <w:p w14:paraId="08964732" w14:textId="508451CB" w:rsidR="007B1859" w:rsidRPr="007B1859" w:rsidRDefault="007B1859" w:rsidP="00FA4247">
      <w:pPr>
        <w:spacing w:before="120" w:after="120" w:line="240" w:lineRule="auto"/>
        <w:ind w:left="-907" w:right="-720"/>
        <w:jc w:val="both"/>
        <w:rPr>
          <w:rFonts w:asciiTheme="majorHAnsi" w:hAnsiTheme="majorHAnsi" w:cstheme="majorHAnsi"/>
          <w:sz w:val="24"/>
          <w:szCs w:val="24"/>
        </w:rPr>
      </w:pPr>
      <w:r w:rsidRPr="007B1859">
        <w:rPr>
          <w:rFonts w:asciiTheme="majorHAnsi" w:hAnsiTheme="majorHAnsi" w:cstheme="majorHAnsi"/>
          <w:b/>
          <w:noProof/>
          <w:color w:val="1F3864"/>
          <w:sz w:val="24"/>
          <w:szCs w:val="24"/>
        </w:rPr>
        <mc:AlternateContent>
          <mc:Choice Requires="wps">
            <w:drawing>
              <wp:anchor distT="0" distB="0" distL="0" distR="0" simplePos="0" relativeHeight="251658241" behindDoc="1" locked="0" layoutInCell="1" allowOverlap="1" wp14:anchorId="7672941B" wp14:editId="24A8D4F5">
                <wp:simplePos x="0" y="0"/>
                <wp:positionH relativeFrom="margin">
                  <wp:align>center</wp:align>
                </wp:positionH>
                <wp:positionV relativeFrom="paragraph">
                  <wp:posOffset>133771</wp:posOffset>
                </wp:positionV>
                <wp:extent cx="5945505" cy="4572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5505" cy="45720"/>
                        </a:xfrm>
                        <a:custGeom>
                          <a:avLst/>
                          <a:gdLst/>
                          <a:ahLst/>
                          <a:cxnLst/>
                          <a:rect l="l" t="t" r="r" b="b"/>
                          <a:pathLst>
                            <a:path w="5945505" h="45720">
                              <a:moveTo>
                                <a:pt x="5945124" y="30480"/>
                              </a:moveTo>
                              <a:lnTo>
                                <a:pt x="0" y="30480"/>
                              </a:lnTo>
                              <a:lnTo>
                                <a:pt x="0" y="45720"/>
                              </a:lnTo>
                              <a:lnTo>
                                <a:pt x="5945124" y="45720"/>
                              </a:lnTo>
                              <a:lnTo>
                                <a:pt x="5945124" y="30480"/>
                              </a:lnTo>
                              <a:close/>
                            </a:path>
                            <a:path w="5945505" h="45720">
                              <a:moveTo>
                                <a:pt x="5945124" y="0"/>
                              </a:moveTo>
                              <a:lnTo>
                                <a:pt x="0" y="0"/>
                              </a:lnTo>
                              <a:lnTo>
                                <a:pt x="0" y="15240"/>
                              </a:lnTo>
                              <a:lnTo>
                                <a:pt x="5945124" y="15240"/>
                              </a:lnTo>
                              <a:lnTo>
                                <a:pt x="5945124" y="0"/>
                              </a:lnTo>
                              <a:close/>
                            </a:path>
                          </a:pathLst>
                        </a:custGeom>
                        <a:solidFill>
                          <a:srgbClr val="006DBE"/>
                        </a:solidFill>
                      </wps:spPr>
                      <wps:bodyPr wrap="square" lIns="0" tIns="0" rIns="0" bIns="0" rtlCol="0">
                        <a:prstTxWarp prst="textNoShape">
                          <a:avLst/>
                        </a:prstTxWarp>
                        <a:noAutofit/>
                      </wps:bodyPr>
                    </wps:wsp>
                  </a:graphicData>
                </a:graphic>
              </wp:anchor>
            </w:drawing>
          </mc:Choice>
          <mc:Fallback>
            <w:pict>
              <v:shape w14:anchorId="6F110E21" id="Graphic 19" o:spid="_x0000_s1026" style="position:absolute;margin-left:0;margin-top:10.55pt;width:468.15pt;height:3.6pt;z-index:-251658239;visibility:visible;mso-wrap-style:square;mso-wrap-distance-left:0;mso-wrap-distance-top:0;mso-wrap-distance-right:0;mso-wrap-distance-bottom:0;mso-position-horizontal:center;mso-position-horizontal-relative:margin;mso-position-vertical:absolute;mso-position-vertical-relative:text;v-text-anchor:top" coordsize="5945505,45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" path="m5945124,30480l,30480,,45720r5945124,l5945124,30480xem5945124,l,,,15240r5945124,l5945124,xe" fillcolor="#006dbe" stroked="f">
                <v:path arrowok="t"/>
                <w10:wrap type="topAndBottom" anchorx="margin"/>
              </v:shape>
            </w:pict>
          </mc:Fallback>
        </mc:AlternateContent>
      </w:r>
      <w:r w:rsidRPr="007B1859">
        <w:rPr>
          <w:rFonts w:asciiTheme="majorHAnsi" w:hAnsiTheme="majorHAnsi" w:cstheme="majorHAnsi"/>
          <w:sz w:val="24"/>
          <w:szCs w:val="24"/>
        </w:rPr>
        <w:t>The Contractor must acknowledge receipt of this Addendum by signing, dating, and submitting it along with the Proposal. Failure to do so may result in the Proposal being considered non-responsive.</w:t>
      </w:r>
    </w:p>
    <w:p w14:paraId="1BC4FEC2" w14:textId="77777777" w:rsidR="007B1859" w:rsidRPr="007B1859" w:rsidRDefault="007B1859" w:rsidP="00FA4247">
      <w:pPr>
        <w:spacing w:before="120" w:after="120" w:line="240" w:lineRule="auto"/>
        <w:ind w:left="-907" w:right="-720"/>
        <w:jc w:val="both"/>
        <w:rPr>
          <w:rFonts w:asciiTheme="majorHAnsi" w:hAnsiTheme="majorHAnsi" w:cstheme="majorHAnsi"/>
          <w:sz w:val="24"/>
          <w:szCs w:val="24"/>
        </w:rPr>
      </w:pPr>
      <w:r w:rsidRPr="007B1859">
        <w:rPr>
          <w:rFonts w:asciiTheme="majorHAnsi" w:hAnsiTheme="majorHAnsi" w:cstheme="majorHAnsi"/>
          <w:sz w:val="24"/>
          <w:szCs w:val="24"/>
        </w:rPr>
        <w:t>This Addendum to RFQ No.419: eProcurement and Contract Management Solution includes the following revisions, additions, clarifications, and/or modifications, all of which must be fully incorporated into the Respondent's Proposal:</w:t>
      </w:r>
    </w:p>
    <w:p w14:paraId="1B271339" w14:textId="6F10F3F7" w:rsidR="00E01DAD" w:rsidRPr="00410576" w:rsidRDefault="008A0E6A" w:rsidP="00FA4247">
      <w:pPr>
        <w:spacing w:before="120" w:after="120" w:line="240" w:lineRule="auto"/>
        <w:ind w:left="-907" w:right="-720"/>
        <w:rPr>
          <w:rFonts w:asciiTheme="majorHAnsi" w:hAnsiTheme="majorHAnsi" w:cstheme="majorHAnsi"/>
          <w:sz w:val="24"/>
          <w:szCs w:val="24"/>
        </w:rPr>
      </w:pPr>
      <w:r w:rsidRPr="00410576">
        <w:rPr>
          <w:rFonts w:asciiTheme="majorHAnsi" w:hAnsiTheme="majorHAnsi" w:cstheme="majorHAnsi"/>
          <w:b/>
          <w:color w:val="1F3864"/>
          <w:sz w:val="24"/>
          <w:szCs w:val="24"/>
        </w:rPr>
        <w:t>Clarifications to the Solicitation</w:t>
      </w:r>
    </w:p>
    <w:p w14:paraId="4519287B" w14:textId="651CF045" w:rsidR="00E01DAD" w:rsidRPr="00410576" w:rsidRDefault="008A0E6A" w:rsidP="00FA4247">
      <w:pPr>
        <w:spacing w:before="120" w:after="120" w:line="240" w:lineRule="auto"/>
        <w:ind w:left="-907" w:right="-720"/>
        <w:rPr>
          <w:rFonts w:asciiTheme="majorHAnsi" w:hAnsiTheme="majorHAnsi" w:cstheme="majorHAnsi"/>
          <w:sz w:val="24"/>
          <w:szCs w:val="24"/>
        </w:rPr>
      </w:pPr>
      <w:r w:rsidRPr="00410576">
        <w:rPr>
          <w:rFonts w:asciiTheme="majorHAnsi" w:hAnsiTheme="majorHAnsi" w:cstheme="majorHAnsi"/>
          <w:sz w:val="24"/>
          <w:szCs w:val="24"/>
        </w:rPr>
        <w:t>The solicitation posted on the CMAP Procurement page remains unchanged and will not be reissued.</w:t>
      </w:r>
      <w:r w:rsidR="00860EDF">
        <w:rPr>
          <w:rFonts w:asciiTheme="majorHAnsi" w:hAnsiTheme="majorHAnsi" w:cstheme="majorHAnsi"/>
          <w:sz w:val="24"/>
          <w:szCs w:val="24"/>
        </w:rPr>
        <w:t xml:space="preserve"> </w:t>
      </w:r>
      <w:r w:rsidRPr="00410576">
        <w:rPr>
          <w:rFonts w:asciiTheme="majorHAnsi" w:hAnsiTheme="majorHAnsi" w:cstheme="majorHAnsi"/>
          <w:sz w:val="24"/>
          <w:szCs w:val="24"/>
        </w:rPr>
        <w:t>The clarifications below respond only to questions raised by proposers in this document, and they apply to all proposers equally.</w:t>
      </w:r>
    </w:p>
    <w:p w14:paraId="7132C80E" w14:textId="77777777" w:rsidR="00E01DAD" w:rsidRPr="00410576" w:rsidRDefault="008A0E6A" w:rsidP="00FA4247">
      <w:pPr>
        <w:spacing w:before="120" w:after="120" w:line="240" w:lineRule="auto"/>
        <w:ind w:left="-907" w:right="-720"/>
        <w:rPr>
          <w:rFonts w:asciiTheme="majorHAnsi" w:hAnsiTheme="majorHAnsi" w:cstheme="majorHAnsi"/>
          <w:sz w:val="24"/>
          <w:szCs w:val="24"/>
        </w:rPr>
      </w:pPr>
      <w:r w:rsidRPr="00FA4247">
        <w:rPr>
          <w:rFonts w:asciiTheme="majorHAnsi" w:hAnsiTheme="majorHAnsi" w:cstheme="majorHAnsi"/>
          <w:b/>
          <w:bCs/>
          <w:sz w:val="24"/>
          <w:szCs w:val="24"/>
        </w:rPr>
        <w:t>C1.</w:t>
      </w:r>
      <w:r w:rsidRPr="00410576">
        <w:rPr>
          <w:rFonts w:asciiTheme="majorHAnsi" w:hAnsiTheme="majorHAnsi" w:cstheme="majorHAnsi"/>
          <w:sz w:val="24"/>
          <w:szCs w:val="24"/>
        </w:rPr>
        <w:t xml:space="preserve"> Service levels (raised in question 77). The intended values are a maintenance notice period of five (5) business days and SLA reporting of ten (10) business days. The bracketed values appearing in the Scope of Services section on service levels are formatting artifacts and carry no meaning.</w:t>
      </w:r>
    </w:p>
    <w:p w14:paraId="4431A4F7" w14:textId="77777777" w:rsidR="00E01DAD" w:rsidRPr="00410576" w:rsidRDefault="008A0E6A" w:rsidP="00FA4247">
      <w:pPr>
        <w:spacing w:before="120" w:after="120" w:line="240" w:lineRule="auto"/>
        <w:ind w:left="-907" w:right="-720"/>
        <w:rPr>
          <w:rFonts w:asciiTheme="majorHAnsi" w:hAnsiTheme="majorHAnsi" w:cstheme="majorHAnsi"/>
          <w:sz w:val="24"/>
          <w:szCs w:val="24"/>
        </w:rPr>
      </w:pPr>
      <w:r w:rsidRPr="00FA4247">
        <w:rPr>
          <w:rFonts w:asciiTheme="majorHAnsi" w:hAnsiTheme="majorHAnsi" w:cstheme="majorHAnsi"/>
          <w:b/>
          <w:bCs/>
          <w:sz w:val="24"/>
          <w:szCs w:val="24"/>
        </w:rPr>
        <w:t>C2.</w:t>
      </w:r>
      <w:r w:rsidRPr="00410576">
        <w:rPr>
          <w:rFonts w:asciiTheme="majorHAnsi" w:hAnsiTheme="majorHAnsi" w:cstheme="majorHAnsi"/>
          <w:sz w:val="24"/>
          <w:szCs w:val="24"/>
        </w:rPr>
        <w:t xml:space="preserve"> Interrogatories, Maintenance and Support item 1 (raised in question 77). The cross-references to a numbered item and to a separate numbered section for service levels are clerical errors. Read both as the Scope of Services section on service levels.</w:t>
      </w:r>
    </w:p>
    <w:p w14:paraId="3F927684" w14:textId="77777777" w:rsidR="00E01DAD" w:rsidRPr="00410576" w:rsidRDefault="008A0E6A" w:rsidP="00FA4247">
      <w:pPr>
        <w:spacing w:before="120" w:after="120" w:line="240" w:lineRule="auto"/>
        <w:ind w:left="-907" w:right="-720"/>
        <w:rPr>
          <w:rFonts w:asciiTheme="majorHAnsi" w:hAnsiTheme="majorHAnsi" w:cstheme="majorHAnsi"/>
          <w:sz w:val="24"/>
          <w:szCs w:val="24"/>
        </w:rPr>
      </w:pPr>
      <w:r w:rsidRPr="00FA4247">
        <w:rPr>
          <w:rFonts w:asciiTheme="majorHAnsi" w:hAnsiTheme="majorHAnsi" w:cstheme="majorHAnsi"/>
          <w:b/>
          <w:bCs/>
          <w:sz w:val="24"/>
          <w:szCs w:val="24"/>
        </w:rPr>
        <w:t>C3.</w:t>
      </w:r>
      <w:r w:rsidRPr="00410576">
        <w:rPr>
          <w:rFonts w:asciiTheme="majorHAnsi" w:hAnsiTheme="majorHAnsi" w:cstheme="majorHAnsi"/>
          <w:sz w:val="24"/>
          <w:szCs w:val="24"/>
        </w:rPr>
        <w:t xml:space="preserve"> General Terms and Conditions, payment obligations (raised in question 77). The reference to the Solution Clarification Questionnaire is a clerical error. Payment obligations are those stated in the invoicing provisions of the solicitation and in the General Terms and Conditions.</w:t>
      </w:r>
    </w:p>
    <w:p w14:paraId="70D9772C" w14:textId="4577F506" w:rsidR="00E01DAD" w:rsidRPr="00FA4247" w:rsidRDefault="00FA4247" w:rsidP="00FA4247">
      <w:pPr>
        <w:spacing w:before="120" w:after="120" w:line="240" w:lineRule="auto"/>
        <w:ind w:left="-540" w:right="-720" w:hanging="630"/>
        <w:rPr>
          <w:rFonts w:asciiTheme="majorHAnsi" w:hAnsiTheme="majorHAnsi" w:cstheme="majorHAnsi"/>
          <w:b/>
          <w:bCs/>
          <w:sz w:val="24"/>
          <w:szCs w:val="24"/>
        </w:rPr>
      </w:pPr>
      <w:r w:rsidRPr="00FA4247">
        <w:rPr>
          <w:rFonts w:asciiTheme="majorHAnsi" w:hAnsiTheme="majorHAnsi" w:cstheme="majorHAnsi"/>
          <w:b/>
          <w:bCs/>
          <w:sz w:val="24"/>
          <w:szCs w:val="24"/>
        </w:rPr>
        <w:t>Question and Answers:</w:t>
      </w:r>
    </w:p>
    <w:p w14:paraId="49C630E9" w14:textId="2BC929B5" w:rsidR="00E01DAD" w:rsidRPr="00410576" w:rsidRDefault="008A0E6A" w:rsidP="00FA4247">
      <w:pPr>
        <w:pStyle w:val="ListParagraph"/>
        <w:numPr>
          <w:ilvl w:val="0"/>
          <w:numId w:val="11"/>
        </w:numPr>
        <w:spacing w:before="120" w:after="120" w:line="240" w:lineRule="auto"/>
        <w:ind w:left="-540" w:right="-720" w:hanging="630"/>
        <w:contextualSpacing w:val="0"/>
        <w:rPr>
          <w:rFonts w:asciiTheme="majorHAnsi" w:hAnsiTheme="majorHAnsi" w:cstheme="majorHAnsi"/>
          <w:sz w:val="24"/>
          <w:szCs w:val="24"/>
        </w:rPr>
      </w:pPr>
      <w:r w:rsidRPr="00410576">
        <w:rPr>
          <w:rFonts w:asciiTheme="majorHAnsi" w:hAnsiTheme="majorHAnsi" w:cstheme="majorHAnsi"/>
          <w:b/>
          <w:color w:val="000000"/>
          <w:sz w:val="24"/>
          <w:szCs w:val="24"/>
        </w:rPr>
        <w:t xml:space="preserve"> Will there be a link to this presentation?</w:t>
      </w:r>
      <w:r w:rsidR="00410576" w:rsidRPr="00410576">
        <w:rPr>
          <w:rFonts w:asciiTheme="majorHAnsi" w:hAnsiTheme="majorHAnsi" w:cstheme="majorHAnsi"/>
          <w:b/>
          <w:color w:val="000000"/>
          <w:sz w:val="24"/>
          <w:szCs w:val="24"/>
        </w:rPr>
        <w:t xml:space="preserve"> </w:t>
      </w:r>
      <w:r w:rsidRPr="00410576">
        <w:rPr>
          <w:rFonts w:asciiTheme="majorHAnsi" w:hAnsiTheme="majorHAnsi" w:cstheme="majorHAnsi"/>
          <w:i/>
          <w:iCs/>
          <w:sz w:val="24"/>
          <w:szCs w:val="24"/>
        </w:rPr>
        <w:t xml:space="preserve">Answer: </w:t>
      </w:r>
      <w:r w:rsidRPr="00410576">
        <w:rPr>
          <w:rFonts w:asciiTheme="majorHAnsi" w:hAnsiTheme="majorHAnsi" w:cstheme="majorHAnsi"/>
          <w:i/>
          <w:iCs/>
          <w:color w:val="1A1A1A"/>
          <w:sz w:val="24"/>
          <w:szCs w:val="24"/>
        </w:rPr>
        <w:t>Yes. It will be posted to the CMAP Procurement page no later than Friday.</w:t>
      </w:r>
    </w:p>
    <w:p w14:paraId="1F35FAE3" w14:textId="7774F60A" w:rsidR="00E01DAD" w:rsidRPr="00410576" w:rsidRDefault="00C0116F" w:rsidP="00FA4247">
      <w:pPr>
        <w:pStyle w:val="ListParagraph"/>
        <w:numPr>
          <w:ilvl w:val="0"/>
          <w:numId w:val="11"/>
        </w:numPr>
        <w:spacing w:before="120" w:after="120" w:line="240" w:lineRule="auto"/>
        <w:ind w:left="-540" w:right="-720" w:hanging="630"/>
        <w:contextualSpacing w:val="0"/>
        <w:rPr>
          <w:rFonts w:asciiTheme="majorHAnsi" w:hAnsiTheme="majorHAnsi" w:cstheme="majorHAnsi"/>
          <w:sz w:val="24"/>
          <w:szCs w:val="24"/>
        </w:rPr>
      </w:pPr>
      <w:r>
        <w:rPr>
          <w:rFonts w:asciiTheme="majorHAnsi" w:hAnsiTheme="majorHAnsi" w:cstheme="majorHAnsi"/>
          <w:b/>
          <w:color w:val="000000"/>
          <w:sz w:val="24"/>
          <w:szCs w:val="24"/>
        </w:rPr>
        <w:t>A</w:t>
      </w:r>
      <w:r w:rsidR="008A0E6A" w:rsidRPr="00410576">
        <w:rPr>
          <w:rFonts w:asciiTheme="majorHAnsi" w:hAnsiTheme="majorHAnsi" w:cstheme="majorHAnsi"/>
          <w:b/>
          <w:color w:val="000000"/>
          <w:sz w:val="24"/>
          <w:szCs w:val="24"/>
        </w:rPr>
        <w:t>ttachment seven shows PO</w:t>
      </w:r>
      <w:r w:rsidR="00D640F4" w:rsidRPr="00410576">
        <w:rPr>
          <w:rFonts w:asciiTheme="majorHAnsi" w:hAnsiTheme="majorHAnsi" w:cstheme="majorHAnsi"/>
          <w:b/>
          <w:color w:val="000000"/>
          <w:sz w:val="24"/>
          <w:szCs w:val="24"/>
        </w:rPr>
        <w:t>s</w:t>
      </w:r>
      <w:r w:rsidR="008A0E6A" w:rsidRPr="00410576">
        <w:rPr>
          <w:rFonts w:asciiTheme="majorHAnsi" w:hAnsiTheme="majorHAnsi" w:cstheme="majorHAnsi"/>
          <w:b/>
          <w:color w:val="000000"/>
          <w:sz w:val="24"/>
          <w:szCs w:val="24"/>
        </w:rPr>
        <w:t xml:space="preserve"> created in D365, but there's a section in the solicitation that says that solution must support PO generation receiving in three-way match. Which system does CMAP expect to own those stats?</w:t>
      </w:r>
      <w:r w:rsidR="00410576" w:rsidRPr="00410576">
        <w:rPr>
          <w:rFonts w:asciiTheme="majorHAnsi" w:hAnsiTheme="majorHAnsi" w:cstheme="majorHAnsi"/>
          <w:b/>
          <w:color w:val="000000"/>
          <w:sz w:val="24"/>
          <w:szCs w:val="24"/>
        </w:rPr>
        <w:t xml:space="preserve"> </w:t>
      </w:r>
      <w:r w:rsidR="008A0E6A" w:rsidRPr="00410576">
        <w:rPr>
          <w:rFonts w:asciiTheme="majorHAnsi" w:hAnsiTheme="majorHAnsi" w:cstheme="majorHAnsi"/>
          <w:i/>
          <w:iCs/>
          <w:color w:val="1A1A1A"/>
          <w:sz w:val="24"/>
          <w:szCs w:val="24"/>
        </w:rPr>
        <w:t xml:space="preserve">Answer: The goal for us Would be to initiate the purchase requisition in D365 then be able to bring those records into the procurement system; then be able to tie the records between the procurement system and D365. There's potentially additional integration that needs to happen where the two </w:t>
      </w:r>
      <w:r w:rsidR="008A0E6A" w:rsidRPr="00410576">
        <w:rPr>
          <w:rFonts w:asciiTheme="majorHAnsi" w:hAnsiTheme="majorHAnsi" w:cstheme="majorHAnsi"/>
          <w:i/>
          <w:iCs/>
          <w:color w:val="1A1A1A"/>
          <w:sz w:val="24"/>
          <w:szCs w:val="24"/>
        </w:rPr>
        <w:lastRenderedPageBreak/>
        <w:t>systems would be able to identify the PO number from D365 and tie it to the contract that is awarded</w:t>
      </w:r>
      <w:r w:rsidR="008A0E6A" w:rsidRPr="00410576">
        <w:rPr>
          <w:rFonts w:asciiTheme="majorHAnsi" w:hAnsiTheme="majorHAnsi" w:cstheme="majorHAnsi"/>
          <w:color w:val="1A1A1A"/>
          <w:sz w:val="24"/>
          <w:szCs w:val="24"/>
        </w:rPr>
        <w:t>.</w:t>
      </w:r>
    </w:p>
    <w:p w14:paraId="4DAAF8AD" w14:textId="157D8C76" w:rsidR="00E01DAD" w:rsidRPr="00410576" w:rsidRDefault="008A0E6A" w:rsidP="00FA4247">
      <w:pPr>
        <w:pStyle w:val="ListParagraph"/>
        <w:numPr>
          <w:ilvl w:val="0"/>
          <w:numId w:val="11"/>
        </w:numPr>
        <w:spacing w:before="120" w:after="120" w:line="240" w:lineRule="auto"/>
        <w:ind w:left="-540" w:right="-720" w:hanging="630"/>
        <w:contextualSpacing w:val="0"/>
        <w:rPr>
          <w:rFonts w:asciiTheme="majorHAnsi" w:hAnsiTheme="majorHAnsi" w:cstheme="majorHAnsi"/>
          <w:i/>
          <w:iCs/>
          <w:sz w:val="24"/>
          <w:szCs w:val="24"/>
        </w:rPr>
      </w:pPr>
      <w:r w:rsidRPr="00410576">
        <w:rPr>
          <w:rFonts w:asciiTheme="majorHAnsi" w:hAnsiTheme="majorHAnsi" w:cstheme="majorHAnsi"/>
          <w:b/>
          <w:color w:val="000000"/>
          <w:sz w:val="24"/>
          <w:szCs w:val="24"/>
        </w:rPr>
        <w:t>Is there co-ops that CMAP prefers to purchase through or receive pricing, such as GAGSA.</w:t>
      </w:r>
      <w:r w:rsidR="00410576" w:rsidRPr="00410576">
        <w:rPr>
          <w:rFonts w:asciiTheme="majorHAnsi" w:hAnsiTheme="majorHAnsi" w:cstheme="majorHAnsi"/>
          <w:b/>
          <w:color w:val="000000"/>
          <w:sz w:val="24"/>
          <w:szCs w:val="24"/>
        </w:rPr>
        <w:t xml:space="preserve"> </w:t>
      </w:r>
      <w:r w:rsidRPr="00410576">
        <w:rPr>
          <w:rFonts w:asciiTheme="majorHAnsi" w:hAnsiTheme="majorHAnsi" w:cstheme="majorHAnsi"/>
          <w:i/>
          <w:iCs/>
          <w:color w:val="1A1A1A"/>
          <w:sz w:val="24"/>
          <w:szCs w:val="24"/>
        </w:rPr>
        <w:t>Answer: This particular solicitation is standalone of any Co-op, so pricing that is received from a vendor will be solely based on this solicitation and not any consortium agreement pricing that that may be available.</w:t>
      </w:r>
    </w:p>
    <w:p w14:paraId="7696D05D" w14:textId="5D58A61D" w:rsidR="00E01DAD" w:rsidRPr="00410576" w:rsidRDefault="008A0E6A" w:rsidP="00FA4247">
      <w:pPr>
        <w:pStyle w:val="ListParagraph"/>
        <w:numPr>
          <w:ilvl w:val="0"/>
          <w:numId w:val="11"/>
        </w:numPr>
        <w:spacing w:before="120" w:after="120" w:line="240" w:lineRule="auto"/>
        <w:ind w:left="-540" w:right="-720" w:hanging="630"/>
        <w:contextualSpacing w:val="0"/>
        <w:rPr>
          <w:rFonts w:asciiTheme="majorHAnsi" w:hAnsiTheme="majorHAnsi" w:cstheme="majorHAnsi"/>
          <w:i/>
          <w:iCs/>
          <w:sz w:val="24"/>
          <w:szCs w:val="24"/>
        </w:rPr>
      </w:pPr>
      <w:r w:rsidRPr="00410576">
        <w:rPr>
          <w:rFonts w:asciiTheme="majorHAnsi" w:hAnsiTheme="majorHAnsi" w:cstheme="majorHAnsi"/>
          <w:b/>
          <w:color w:val="000000"/>
          <w:sz w:val="24"/>
          <w:szCs w:val="24"/>
        </w:rPr>
        <w:t>So for historical data migration, how many total records?</w:t>
      </w:r>
      <w:r w:rsidR="00410576" w:rsidRPr="00410576">
        <w:rPr>
          <w:rFonts w:asciiTheme="majorHAnsi" w:hAnsiTheme="majorHAnsi" w:cstheme="majorHAnsi"/>
          <w:b/>
          <w:color w:val="000000"/>
          <w:sz w:val="24"/>
          <w:szCs w:val="24"/>
        </w:rPr>
        <w:t xml:space="preserve"> </w:t>
      </w:r>
      <w:r w:rsidRPr="00410576">
        <w:rPr>
          <w:rFonts w:asciiTheme="majorHAnsi" w:hAnsiTheme="majorHAnsi" w:cstheme="majorHAnsi"/>
          <w:i/>
          <w:iCs/>
          <w:color w:val="1A1A1A"/>
          <w:sz w:val="24"/>
          <w:szCs w:val="24"/>
        </w:rPr>
        <w:t>Answer: We're still evaluating records that will be migrated to the new system.</w:t>
      </w:r>
    </w:p>
    <w:p w14:paraId="1746A078" w14:textId="545CB555" w:rsidR="00E01DAD" w:rsidRPr="00410576" w:rsidRDefault="008A0E6A" w:rsidP="00FA4247">
      <w:pPr>
        <w:pStyle w:val="ListParagraph"/>
        <w:numPr>
          <w:ilvl w:val="0"/>
          <w:numId w:val="11"/>
        </w:numPr>
        <w:spacing w:before="120" w:after="120" w:line="240" w:lineRule="auto"/>
        <w:ind w:left="-540" w:right="-720" w:hanging="630"/>
        <w:contextualSpacing w:val="0"/>
        <w:rPr>
          <w:rFonts w:asciiTheme="majorHAnsi" w:hAnsiTheme="majorHAnsi" w:cstheme="majorHAnsi"/>
          <w:i/>
          <w:iCs/>
          <w:sz w:val="24"/>
          <w:szCs w:val="24"/>
        </w:rPr>
      </w:pPr>
      <w:r w:rsidRPr="00410576">
        <w:rPr>
          <w:rFonts w:asciiTheme="majorHAnsi" w:hAnsiTheme="majorHAnsi" w:cstheme="majorHAnsi"/>
          <w:b/>
          <w:color w:val="000000"/>
          <w:sz w:val="24"/>
          <w:szCs w:val="24"/>
        </w:rPr>
        <w:t>What implementation timeline are you looking at?</w:t>
      </w:r>
      <w:r w:rsidR="00410576" w:rsidRPr="00410576">
        <w:rPr>
          <w:rFonts w:asciiTheme="majorHAnsi" w:hAnsiTheme="majorHAnsi" w:cstheme="majorHAnsi"/>
          <w:b/>
          <w:color w:val="000000"/>
          <w:sz w:val="24"/>
          <w:szCs w:val="24"/>
        </w:rPr>
        <w:t xml:space="preserve"> </w:t>
      </w:r>
      <w:r w:rsidRPr="00410576">
        <w:rPr>
          <w:rFonts w:asciiTheme="majorHAnsi" w:hAnsiTheme="majorHAnsi" w:cstheme="majorHAnsi"/>
          <w:i/>
          <w:iCs/>
          <w:color w:val="1A1A1A"/>
          <w:sz w:val="24"/>
          <w:szCs w:val="24"/>
        </w:rPr>
        <w:t>Answer: We are hoping to have a contract and a notice to proceed by the end of January. We will trust the successful pro</w:t>
      </w:r>
      <w:r w:rsidR="00D640F4" w:rsidRPr="00410576">
        <w:rPr>
          <w:rFonts w:asciiTheme="majorHAnsi" w:hAnsiTheme="majorHAnsi" w:cstheme="majorHAnsi"/>
          <w:i/>
          <w:iCs/>
          <w:color w:val="1A1A1A"/>
          <w:sz w:val="24"/>
          <w:szCs w:val="24"/>
        </w:rPr>
        <w:t>poser</w:t>
      </w:r>
      <w:r w:rsidRPr="00410576">
        <w:rPr>
          <w:rFonts w:asciiTheme="majorHAnsi" w:hAnsiTheme="majorHAnsi" w:cstheme="majorHAnsi"/>
          <w:i/>
          <w:iCs/>
          <w:color w:val="1A1A1A"/>
          <w:sz w:val="24"/>
          <w:szCs w:val="24"/>
        </w:rPr>
        <w:t>’s work approach and schedule for completion.</w:t>
      </w:r>
    </w:p>
    <w:p w14:paraId="51A26A98" w14:textId="072C6E72" w:rsidR="00E01DAD" w:rsidRPr="00410576" w:rsidRDefault="008A0E6A" w:rsidP="00FA4247">
      <w:pPr>
        <w:pStyle w:val="ListParagraph"/>
        <w:numPr>
          <w:ilvl w:val="0"/>
          <w:numId w:val="11"/>
        </w:numPr>
        <w:spacing w:before="120" w:after="120" w:line="240" w:lineRule="auto"/>
        <w:ind w:left="-540" w:right="-720" w:hanging="630"/>
        <w:contextualSpacing w:val="0"/>
        <w:rPr>
          <w:rFonts w:asciiTheme="majorHAnsi" w:hAnsiTheme="majorHAnsi" w:cstheme="majorHAnsi"/>
          <w:i/>
          <w:iCs/>
          <w:sz w:val="24"/>
          <w:szCs w:val="24"/>
        </w:rPr>
      </w:pPr>
      <w:r w:rsidRPr="00410576">
        <w:rPr>
          <w:rFonts w:asciiTheme="majorHAnsi" w:hAnsiTheme="majorHAnsi" w:cstheme="majorHAnsi"/>
          <w:b/>
          <w:color w:val="000000"/>
          <w:sz w:val="24"/>
          <w:szCs w:val="24"/>
        </w:rPr>
        <w:t>Is there any significant portion of the 200 end users that would just be read only users, or do all of them need to be have access to the system at the same time?</w:t>
      </w:r>
      <w:r w:rsidR="00410576" w:rsidRPr="00410576">
        <w:rPr>
          <w:rFonts w:asciiTheme="majorHAnsi" w:hAnsiTheme="majorHAnsi" w:cstheme="majorHAnsi"/>
          <w:b/>
          <w:color w:val="000000"/>
          <w:sz w:val="24"/>
          <w:szCs w:val="24"/>
        </w:rPr>
        <w:t xml:space="preserve"> </w:t>
      </w:r>
      <w:r w:rsidRPr="00410576">
        <w:rPr>
          <w:rFonts w:asciiTheme="majorHAnsi" w:hAnsiTheme="majorHAnsi" w:cstheme="majorHAnsi"/>
          <w:i/>
          <w:iCs/>
          <w:color w:val="1A1A1A"/>
          <w:sz w:val="24"/>
          <w:szCs w:val="24"/>
        </w:rPr>
        <w:t>Answer: The priority would be that approximately 2 administrators are able to access the system at the same time</w:t>
      </w:r>
      <w:r w:rsidR="00490E2A">
        <w:rPr>
          <w:rFonts w:asciiTheme="majorHAnsi" w:hAnsiTheme="majorHAnsi" w:cstheme="majorHAnsi"/>
          <w:i/>
          <w:iCs/>
          <w:color w:val="1A1A1A"/>
          <w:sz w:val="24"/>
          <w:szCs w:val="24"/>
        </w:rPr>
        <w:t>.</w:t>
      </w:r>
      <w:r w:rsidRPr="00410576">
        <w:rPr>
          <w:rFonts w:asciiTheme="majorHAnsi" w:hAnsiTheme="majorHAnsi" w:cstheme="majorHAnsi"/>
          <w:i/>
          <w:iCs/>
          <w:color w:val="1A1A1A"/>
          <w:sz w:val="24"/>
          <w:szCs w:val="24"/>
        </w:rPr>
        <w:t xml:space="preserve"> </w:t>
      </w:r>
      <w:r w:rsidR="00490E2A">
        <w:rPr>
          <w:rFonts w:asciiTheme="majorHAnsi" w:hAnsiTheme="majorHAnsi" w:cstheme="majorHAnsi"/>
          <w:i/>
          <w:iCs/>
          <w:color w:val="1A1A1A"/>
          <w:sz w:val="24"/>
          <w:szCs w:val="24"/>
        </w:rPr>
        <w:t>H</w:t>
      </w:r>
      <w:r w:rsidRPr="00410576">
        <w:rPr>
          <w:rFonts w:asciiTheme="majorHAnsi" w:hAnsiTheme="majorHAnsi" w:cstheme="majorHAnsi"/>
          <w:i/>
          <w:iCs/>
          <w:color w:val="1A1A1A"/>
          <w:sz w:val="24"/>
          <w:szCs w:val="24"/>
        </w:rPr>
        <w:t>owever</w:t>
      </w:r>
      <w:r w:rsidR="00490E2A">
        <w:rPr>
          <w:rFonts w:asciiTheme="majorHAnsi" w:hAnsiTheme="majorHAnsi" w:cstheme="majorHAnsi"/>
          <w:i/>
          <w:iCs/>
          <w:color w:val="1A1A1A"/>
          <w:sz w:val="24"/>
          <w:szCs w:val="24"/>
        </w:rPr>
        <w:t>,</w:t>
      </w:r>
      <w:r w:rsidRPr="00410576">
        <w:rPr>
          <w:rFonts w:asciiTheme="majorHAnsi" w:hAnsiTheme="majorHAnsi" w:cstheme="majorHAnsi"/>
          <w:i/>
          <w:iCs/>
          <w:color w:val="1A1A1A"/>
          <w:sz w:val="24"/>
          <w:szCs w:val="24"/>
        </w:rPr>
        <w:t xml:space="preserve"> </w:t>
      </w:r>
      <w:r w:rsidR="00490E2A">
        <w:rPr>
          <w:rFonts w:asciiTheme="majorHAnsi" w:hAnsiTheme="majorHAnsi" w:cstheme="majorHAnsi"/>
          <w:i/>
          <w:iCs/>
          <w:color w:val="1A1A1A"/>
          <w:sz w:val="24"/>
          <w:szCs w:val="24"/>
        </w:rPr>
        <w:t>i</w:t>
      </w:r>
      <w:r w:rsidRPr="00410576">
        <w:rPr>
          <w:rFonts w:asciiTheme="majorHAnsi" w:hAnsiTheme="majorHAnsi" w:cstheme="majorHAnsi"/>
          <w:i/>
          <w:iCs/>
          <w:color w:val="1A1A1A"/>
          <w:sz w:val="24"/>
          <w:szCs w:val="24"/>
        </w:rPr>
        <w:t>f there are capacity constraints or capacity restrictions of the number of users that can be in the system at one time, then I would like for that constraint to be outlined inside the proposal.</w:t>
      </w:r>
    </w:p>
    <w:p w14:paraId="57436CE8" w14:textId="147B7CDE" w:rsidR="00E01DAD" w:rsidRPr="00410576" w:rsidRDefault="008A0E6A" w:rsidP="00FA4247">
      <w:pPr>
        <w:pStyle w:val="ListParagraph"/>
        <w:numPr>
          <w:ilvl w:val="0"/>
          <w:numId w:val="11"/>
        </w:numPr>
        <w:spacing w:before="120" w:after="120" w:line="240" w:lineRule="auto"/>
        <w:ind w:left="-540" w:right="-720" w:hanging="630"/>
        <w:contextualSpacing w:val="0"/>
        <w:rPr>
          <w:rFonts w:asciiTheme="majorHAnsi" w:hAnsiTheme="majorHAnsi" w:cstheme="majorHAnsi"/>
          <w:sz w:val="24"/>
          <w:szCs w:val="24"/>
        </w:rPr>
      </w:pPr>
      <w:r w:rsidRPr="00410576">
        <w:rPr>
          <w:rFonts w:asciiTheme="majorHAnsi" w:hAnsiTheme="majorHAnsi" w:cstheme="majorHAnsi"/>
          <w:b/>
          <w:color w:val="000000"/>
          <w:sz w:val="24"/>
          <w:szCs w:val="24"/>
        </w:rPr>
        <w:t>Will there be an outside firm reviewing this proposal?</w:t>
      </w:r>
      <w:r w:rsidR="00410576" w:rsidRPr="00410576">
        <w:rPr>
          <w:rFonts w:asciiTheme="majorHAnsi" w:hAnsiTheme="majorHAnsi" w:cstheme="majorHAnsi"/>
          <w:b/>
          <w:color w:val="000000"/>
          <w:sz w:val="24"/>
          <w:szCs w:val="24"/>
        </w:rPr>
        <w:t xml:space="preserve"> </w:t>
      </w:r>
      <w:r w:rsidRPr="00410576">
        <w:rPr>
          <w:rFonts w:asciiTheme="majorHAnsi" w:hAnsiTheme="majorHAnsi" w:cstheme="majorHAnsi"/>
          <w:i/>
          <w:iCs/>
          <w:color w:val="1A1A1A"/>
          <w:sz w:val="24"/>
          <w:szCs w:val="24"/>
        </w:rPr>
        <w:t>Answer: No. CMAP will be completing the review of all the proposals in-house.</w:t>
      </w:r>
    </w:p>
    <w:p w14:paraId="6B470B63" w14:textId="143FACD4"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8. </w:t>
      </w:r>
      <w:r w:rsidR="007257FB" w:rsidRPr="00410576">
        <w:rPr>
          <w:rFonts w:asciiTheme="majorHAnsi" w:hAnsiTheme="majorHAnsi" w:cstheme="majorHAnsi"/>
          <w:b/>
          <w:color w:val="000000"/>
          <w:sz w:val="24"/>
          <w:szCs w:val="24"/>
        </w:rPr>
        <w:tab/>
      </w:r>
      <w:r w:rsidRPr="001473F7">
        <w:rPr>
          <w:rFonts w:asciiTheme="majorHAnsi" w:hAnsiTheme="majorHAnsi" w:cstheme="majorHAnsi"/>
          <w:b/>
          <w:color w:val="000000"/>
          <w:sz w:val="24"/>
          <w:szCs w:val="24"/>
        </w:rPr>
        <w:t>For the security documentation in Section 3.3.vi, must both the implementation prime and SaaS operator provide their own SOC 2 Type II report and penetration-test summary, or may the documents cover the SaaS operator with the prime’s responsibilities addressed separately?</w:t>
      </w:r>
      <w:r w:rsidR="00410576" w:rsidRPr="00410576">
        <w:rPr>
          <w:rFonts w:asciiTheme="majorHAnsi" w:hAnsiTheme="majorHAnsi" w:cstheme="majorHAnsi"/>
          <w:b/>
          <w:color w:val="000000"/>
          <w:sz w:val="24"/>
          <w:szCs w:val="24"/>
        </w:rPr>
        <w:t xml:space="preserve"> </w:t>
      </w:r>
      <w:r w:rsidRPr="00410576">
        <w:rPr>
          <w:rFonts w:asciiTheme="majorHAnsi" w:hAnsiTheme="majorHAnsi" w:cstheme="majorHAnsi"/>
          <w:i/>
          <w:iCs/>
          <w:color w:val="1A1A1A"/>
          <w:sz w:val="24"/>
          <w:szCs w:val="24"/>
        </w:rPr>
        <w:t>Answer: Please reference RFP 411 and attachments.</w:t>
      </w:r>
    </w:p>
    <w:p w14:paraId="7905C280" w14:textId="7CFDFFCA"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9. </w:t>
      </w:r>
      <w:r w:rsidR="00410576">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Must the three references in Section 3.4 be customers of the proposing prime, or may references for work delivered by named team members at prior firms be used if their contribution and relationship are clearly identified?</w:t>
      </w:r>
      <w:r w:rsidR="00410576">
        <w:rPr>
          <w:rFonts w:asciiTheme="majorHAnsi" w:hAnsiTheme="majorHAnsi" w:cstheme="majorHAnsi"/>
          <w:b/>
          <w:color w:val="000000"/>
          <w:sz w:val="24"/>
          <w:szCs w:val="24"/>
        </w:rPr>
        <w:t xml:space="preserve"> </w:t>
      </w:r>
      <w:r w:rsidRPr="00410576">
        <w:rPr>
          <w:rFonts w:asciiTheme="majorHAnsi" w:hAnsiTheme="majorHAnsi" w:cstheme="majorHAnsi"/>
          <w:i/>
          <w:iCs/>
          <w:color w:val="1A1A1A"/>
          <w:sz w:val="24"/>
          <w:szCs w:val="24"/>
        </w:rPr>
        <w:t>Answer: Reference must be business-related and able to speak to proposer’s work.</w:t>
      </w:r>
    </w:p>
    <w:p w14:paraId="3EED846A" w14:textId="08F4891B"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10. </w:t>
      </w:r>
      <w:r w:rsidR="00490E2A">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How many total CMAP employees (FTEs) are there, and how many are requisitioners or approvers who touch the system?</w:t>
      </w:r>
      <w:r w:rsidR="00410576">
        <w:rPr>
          <w:rFonts w:asciiTheme="majorHAnsi" w:hAnsiTheme="majorHAnsi" w:cstheme="majorHAnsi"/>
          <w:b/>
          <w:color w:val="000000"/>
          <w:sz w:val="24"/>
          <w:szCs w:val="24"/>
        </w:rPr>
        <w:t xml:space="preserve"> </w:t>
      </w:r>
      <w:r w:rsidRPr="00410576">
        <w:rPr>
          <w:rFonts w:asciiTheme="majorHAnsi" w:hAnsiTheme="majorHAnsi" w:cstheme="majorHAnsi"/>
          <w:i/>
          <w:iCs/>
          <w:color w:val="1A1A1A"/>
          <w:sz w:val="24"/>
          <w:szCs w:val="24"/>
        </w:rPr>
        <w:t>Answer: Please see question number 6.</w:t>
      </w:r>
    </w:p>
    <w:p w14:paraId="75522FCC" w14:textId="1A699266" w:rsidR="00E01DAD" w:rsidRPr="00C0116F"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11. </w:t>
      </w:r>
      <w:r w:rsidR="00490E2A">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What is CMAP’s annual addressable spend: total, and split between competitively bid, grant/federally funded, and small or micro purchases?</w:t>
      </w:r>
      <w:r w:rsidR="00410576">
        <w:rPr>
          <w:rFonts w:asciiTheme="majorHAnsi" w:hAnsiTheme="majorHAnsi" w:cstheme="majorHAnsi"/>
          <w:b/>
          <w:color w:val="000000"/>
          <w:sz w:val="24"/>
          <w:szCs w:val="24"/>
        </w:rPr>
        <w:t xml:space="preserve"> </w:t>
      </w:r>
      <w:r w:rsidRPr="00410576">
        <w:rPr>
          <w:rFonts w:asciiTheme="majorHAnsi" w:hAnsiTheme="majorHAnsi" w:cstheme="majorHAnsi"/>
          <w:i/>
          <w:iCs/>
          <w:color w:val="1A1A1A"/>
          <w:sz w:val="24"/>
          <w:szCs w:val="24"/>
        </w:rPr>
        <w:t xml:space="preserve">Answer: </w:t>
      </w:r>
      <w:r w:rsidRPr="00C0116F">
        <w:rPr>
          <w:rFonts w:asciiTheme="majorHAnsi" w:hAnsiTheme="majorHAnsi" w:cstheme="majorHAnsi"/>
          <w:i/>
          <w:iCs/>
          <w:color w:val="1A1A1A"/>
          <w:sz w:val="24"/>
          <w:szCs w:val="24"/>
        </w:rPr>
        <w:t>CMA</w:t>
      </w:r>
      <w:r w:rsidR="00C0116F" w:rsidRPr="00C0116F">
        <w:rPr>
          <w:rFonts w:asciiTheme="majorHAnsi" w:hAnsiTheme="majorHAnsi" w:cstheme="majorHAnsi"/>
          <w:i/>
          <w:iCs/>
          <w:color w:val="1A1A1A"/>
          <w:sz w:val="24"/>
          <w:szCs w:val="24"/>
        </w:rPr>
        <w:t xml:space="preserve">P’s </w:t>
      </w:r>
      <w:r w:rsidR="00C0116F" w:rsidRPr="00C0116F">
        <w:rPr>
          <w:i/>
          <w:iCs/>
          <w:sz w:val="24"/>
          <w:szCs w:val="24"/>
        </w:rPr>
        <w:t>annual spend varies and is contingent upon external funding.</w:t>
      </w:r>
      <w:r w:rsidRPr="00C0116F">
        <w:rPr>
          <w:rFonts w:asciiTheme="majorHAnsi" w:hAnsiTheme="majorHAnsi" w:cstheme="majorHAnsi"/>
          <w:i/>
          <w:iCs/>
          <w:color w:val="1A1A1A"/>
          <w:sz w:val="24"/>
          <w:szCs w:val="24"/>
        </w:rPr>
        <w:t xml:space="preserve"> Proposers should submit their best offer based on the Scope of Work.</w:t>
      </w:r>
    </w:p>
    <w:p w14:paraId="4B68901B" w14:textId="5D0FDF08" w:rsidR="00E01DAD" w:rsidRPr="00410576"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12. </w:t>
      </w:r>
      <w:r w:rsidR="00C0116F">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How many contracts will be migrated? On the call they said a “couple hundred” at most. Please confirm the number of contracts, active vs. expired, and how many vendor records.</w:t>
      </w:r>
      <w:r w:rsidR="00410576">
        <w:rPr>
          <w:rFonts w:asciiTheme="majorHAnsi" w:hAnsiTheme="majorHAnsi" w:cstheme="majorHAnsi"/>
          <w:b/>
          <w:color w:val="000000"/>
          <w:sz w:val="24"/>
          <w:szCs w:val="24"/>
        </w:rPr>
        <w:t xml:space="preserve"> </w:t>
      </w:r>
      <w:r w:rsidRPr="00410576">
        <w:rPr>
          <w:rFonts w:asciiTheme="majorHAnsi" w:hAnsiTheme="majorHAnsi" w:cstheme="majorHAnsi"/>
          <w:i/>
          <w:iCs/>
          <w:color w:val="1A1A1A"/>
          <w:sz w:val="24"/>
          <w:szCs w:val="24"/>
        </w:rPr>
        <w:t>Answer: Please reference question number 4.</w:t>
      </w:r>
    </w:p>
    <w:p w14:paraId="4800C660" w14:textId="56C583FD" w:rsidR="00E01DAD" w:rsidRPr="00410576"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13. </w:t>
      </w:r>
      <w:r w:rsidR="00C0116F">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Does CMAP have a budget range or an independent cost estimate it can share? The RFP says funding is contingent and the estimate will be used in evaluation.</w:t>
      </w:r>
      <w:r w:rsidR="00410576">
        <w:rPr>
          <w:rFonts w:asciiTheme="majorHAnsi" w:hAnsiTheme="majorHAnsi" w:cstheme="majorHAnsi"/>
          <w:b/>
          <w:color w:val="000000"/>
          <w:sz w:val="24"/>
          <w:szCs w:val="24"/>
        </w:rPr>
        <w:t xml:space="preserve"> </w:t>
      </w:r>
      <w:r w:rsidRPr="00410576">
        <w:rPr>
          <w:rFonts w:asciiTheme="majorHAnsi" w:hAnsiTheme="majorHAnsi" w:cstheme="majorHAnsi"/>
          <w:i/>
          <w:iCs/>
          <w:color w:val="1A1A1A"/>
          <w:sz w:val="24"/>
          <w:szCs w:val="24"/>
        </w:rPr>
        <w:t xml:space="preserve">Answer: </w:t>
      </w:r>
      <w:r w:rsidR="00643838">
        <w:rPr>
          <w:rFonts w:asciiTheme="majorHAnsi" w:hAnsiTheme="majorHAnsi" w:cstheme="majorHAnsi"/>
          <w:i/>
          <w:iCs/>
          <w:color w:val="1A1A1A"/>
          <w:sz w:val="24"/>
          <w:szCs w:val="24"/>
        </w:rPr>
        <w:t xml:space="preserve">No. </w:t>
      </w:r>
      <w:r w:rsidRPr="00410576">
        <w:rPr>
          <w:rFonts w:asciiTheme="majorHAnsi" w:hAnsiTheme="majorHAnsi" w:cstheme="majorHAnsi"/>
          <w:i/>
          <w:iCs/>
          <w:color w:val="1A1A1A"/>
          <w:sz w:val="24"/>
          <w:szCs w:val="24"/>
        </w:rPr>
        <w:t xml:space="preserve">Proposers should submit their best offer </w:t>
      </w:r>
      <w:r w:rsidR="00C0116F">
        <w:rPr>
          <w:rFonts w:asciiTheme="majorHAnsi" w:hAnsiTheme="majorHAnsi" w:cstheme="majorHAnsi"/>
          <w:i/>
          <w:iCs/>
          <w:color w:val="1A1A1A"/>
          <w:sz w:val="24"/>
          <w:szCs w:val="24"/>
        </w:rPr>
        <w:t>based</w:t>
      </w:r>
      <w:r w:rsidRPr="00410576">
        <w:rPr>
          <w:rFonts w:asciiTheme="majorHAnsi" w:hAnsiTheme="majorHAnsi" w:cstheme="majorHAnsi"/>
          <w:i/>
          <w:iCs/>
          <w:color w:val="1A1A1A"/>
          <w:sz w:val="24"/>
          <w:szCs w:val="24"/>
        </w:rPr>
        <w:t xml:space="preserve"> on five-year total cost of ownership. Please reference question number 11.</w:t>
      </w:r>
    </w:p>
    <w:p w14:paraId="5453F96D" w14:textId="72EE4B20" w:rsidR="00E01DAD" w:rsidRPr="00C0116F"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14. </w:t>
      </w:r>
      <w:r w:rsidR="00C0116F">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 xml:space="preserve">How many active suppliers does CMAP have, and how many external suppliers should the portal support? Should supplier and public-portal access be priced as unlimited, or </w:t>
      </w:r>
      <w:r w:rsidRPr="00410576">
        <w:rPr>
          <w:rFonts w:asciiTheme="majorHAnsi" w:hAnsiTheme="majorHAnsi" w:cstheme="majorHAnsi"/>
          <w:b/>
          <w:color w:val="000000"/>
          <w:sz w:val="24"/>
          <w:szCs w:val="24"/>
        </w:rPr>
        <w:lastRenderedPageBreak/>
        <w:t>are tiers acceptable?</w:t>
      </w:r>
      <w:r w:rsidR="00C0116F">
        <w:rPr>
          <w:rFonts w:asciiTheme="majorHAnsi" w:hAnsiTheme="majorHAnsi" w:cstheme="majorHAnsi"/>
          <w:b/>
          <w:color w:val="000000"/>
          <w:sz w:val="24"/>
          <w:szCs w:val="24"/>
        </w:rPr>
        <w:t xml:space="preserve"> </w:t>
      </w:r>
      <w:r w:rsidRPr="00C0116F">
        <w:rPr>
          <w:rFonts w:asciiTheme="majorHAnsi" w:hAnsiTheme="majorHAnsi" w:cstheme="majorHAnsi"/>
          <w:i/>
          <w:iCs/>
          <w:color w:val="1A1A1A"/>
          <w:sz w:val="24"/>
          <w:szCs w:val="24"/>
        </w:rPr>
        <w:t>Answer: CMAP does not provide supplier counts. Public supplier and bidder portal access should be priced without per-supplier limits. Internal access is sized to approximately 200 named users. Please reference question number 6</w:t>
      </w:r>
      <w:r w:rsidR="00C0116F" w:rsidRPr="00C0116F">
        <w:rPr>
          <w:rFonts w:asciiTheme="majorHAnsi" w:hAnsiTheme="majorHAnsi" w:cstheme="majorHAnsi"/>
          <w:i/>
          <w:iCs/>
          <w:color w:val="1A1A1A"/>
          <w:sz w:val="24"/>
          <w:szCs w:val="24"/>
        </w:rPr>
        <w:t>.</w:t>
      </w:r>
    </w:p>
    <w:p w14:paraId="47C553B8" w14:textId="4DC02DC8"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15. </w:t>
      </w:r>
      <w:r w:rsidR="00C0116F">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The scope slide said “1 to 200 end users” on the call and “100–200” in the deck. What is the right number? How many are full users vs. read-only/approver-only? Should the 2 administrators be priced separately?</w:t>
      </w:r>
      <w:r w:rsidR="00C0116F">
        <w:rPr>
          <w:rFonts w:asciiTheme="majorHAnsi" w:hAnsiTheme="majorHAnsi" w:cstheme="majorHAnsi"/>
          <w:b/>
          <w:color w:val="000000"/>
          <w:sz w:val="24"/>
          <w:szCs w:val="24"/>
        </w:rPr>
        <w:t xml:space="preserve"> </w:t>
      </w:r>
      <w:r w:rsidRPr="00C0116F">
        <w:rPr>
          <w:rFonts w:asciiTheme="majorHAnsi" w:hAnsiTheme="majorHAnsi" w:cstheme="majorHAnsi"/>
          <w:i/>
          <w:iCs/>
          <w:color w:val="1A1A1A"/>
          <w:sz w:val="24"/>
          <w:szCs w:val="24"/>
        </w:rPr>
        <w:t>Answer: Approximately 200 employees may have access to the system. Approximately 2 administrators require concurrent access; all other users are regular users. Administrators are included within the licensed user count and should not be priced separately. Please reference question number 6.</w:t>
      </w:r>
    </w:p>
    <w:p w14:paraId="6D447B8E" w14:textId="6969A085"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16. </w:t>
      </w:r>
      <w:r w:rsidR="00C0116F">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For the five-year TCO, should implementation fees be shown in Year 0 or Year 1? Does the subscription (Years 1–3) start at go-live acceptance, so the roughly 6-month implementation carries no subscription fee? Please confirm how Years 4–5 are counted.</w:t>
      </w:r>
      <w:r w:rsidR="00C0116F">
        <w:rPr>
          <w:rFonts w:asciiTheme="majorHAnsi" w:hAnsiTheme="majorHAnsi" w:cstheme="majorHAnsi"/>
          <w:b/>
          <w:color w:val="000000"/>
          <w:sz w:val="24"/>
          <w:szCs w:val="24"/>
        </w:rPr>
        <w:t xml:space="preserve"> </w:t>
      </w:r>
      <w:r w:rsidRPr="00C0116F">
        <w:rPr>
          <w:rFonts w:asciiTheme="majorHAnsi" w:hAnsiTheme="majorHAnsi" w:cstheme="majorHAnsi"/>
          <w:i/>
          <w:iCs/>
          <w:color w:val="1A1A1A"/>
          <w:sz w:val="24"/>
          <w:szCs w:val="24"/>
        </w:rPr>
        <w:t>Answer: Please reference Attachment. The Price Proposal Worksheet sets the period of performance, invoicing, and pricing structure; please also reference the Scope of Services section on service levels.</w:t>
      </w:r>
    </w:p>
    <w:p w14:paraId="2A2A073D" w14:textId="03B9A0ED"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17. </w:t>
      </w:r>
      <w:r w:rsidR="00C0116F">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Per the call, requisitions originate in D365, but Section 2.1.2(d) says the solution must also support PO generation, receiving, three-way match, and invoice approval. Which system is the system of record for each step? Is it acceptable for D365 to remain the system of record for PO, receiving, match, and AP with the solution integrating bi-directionally?</w:t>
      </w:r>
      <w:r w:rsidR="00C0116F">
        <w:rPr>
          <w:rFonts w:asciiTheme="majorHAnsi" w:hAnsiTheme="majorHAnsi" w:cstheme="majorHAnsi"/>
          <w:b/>
          <w:color w:val="000000"/>
          <w:sz w:val="24"/>
          <w:szCs w:val="24"/>
        </w:rPr>
        <w:t xml:space="preserve"> </w:t>
      </w:r>
      <w:r w:rsidRPr="00C0116F">
        <w:rPr>
          <w:rFonts w:asciiTheme="majorHAnsi" w:hAnsiTheme="majorHAnsi" w:cstheme="majorHAnsi"/>
          <w:i/>
          <w:iCs/>
          <w:color w:val="1A1A1A"/>
          <w:sz w:val="24"/>
          <w:szCs w:val="24"/>
        </w:rPr>
        <w:t>Answer: Please reference question number 2.</w:t>
      </w:r>
    </w:p>
    <w:p w14:paraId="0C5F4AEC" w14:textId="3652E43C" w:rsidR="00E01DAD" w:rsidRPr="00C0116F"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18. </w:t>
      </w:r>
      <w:r w:rsidR="00C0116F">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Is requisition intake required in the new platform, or does CMAP want it only in D365? Could a proposer offer a front-end intake and approval layer that writes to D365?</w:t>
      </w:r>
      <w:r w:rsidR="00C0116F">
        <w:rPr>
          <w:rFonts w:asciiTheme="majorHAnsi" w:hAnsiTheme="majorHAnsi" w:cstheme="majorHAnsi"/>
          <w:sz w:val="24"/>
          <w:szCs w:val="24"/>
        </w:rPr>
        <w:t xml:space="preserve"> </w:t>
      </w:r>
      <w:r w:rsidRPr="00C0116F">
        <w:rPr>
          <w:rFonts w:asciiTheme="majorHAnsi" w:hAnsiTheme="majorHAnsi" w:cstheme="majorHAnsi"/>
          <w:i/>
          <w:iCs/>
          <w:color w:val="1A1A1A"/>
          <w:sz w:val="24"/>
          <w:szCs w:val="24"/>
        </w:rPr>
        <w:t>Answer: Please reference question number 2. Requisitions originate in D365 under the approach described there.</w:t>
      </w:r>
    </w:p>
    <w:p w14:paraId="66BD56AE" w14:textId="726571C0"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19. </w:t>
      </w:r>
      <w:r w:rsidR="00C0116F">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Which D365 objects need to sync, and in which direction: vendor master, contracts/blanket POs, POs, budget/grant dimensions, invoices? What sync frequency is expected (real-time vs. batch)?</w:t>
      </w:r>
      <w:r w:rsidR="00C0116F">
        <w:rPr>
          <w:rFonts w:asciiTheme="majorHAnsi" w:hAnsiTheme="majorHAnsi" w:cstheme="majorHAnsi"/>
          <w:b/>
          <w:color w:val="000000"/>
          <w:sz w:val="24"/>
          <w:szCs w:val="24"/>
        </w:rPr>
        <w:t xml:space="preserve"> </w:t>
      </w:r>
      <w:r w:rsidRPr="00C0116F">
        <w:rPr>
          <w:rFonts w:asciiTheme="majorHAnsi" w:hAnsiTheme="majorHAnsi" w:cstheme="majorHAnsi"/>
          <w:i/>
          <w:iCs/>
          <w:color w:val="1A1A1A"/>
          <w:sz w:val="24"/>
          <w:szCs w:val="24"/>
        </w:rPr>
        <w:t xml:space="preserve">Answer: Please reference RFP. </w:t>
      </w:r>
    </w:p>
    <w:p w14:paraId="60A933CD" w14:textId="24A52113" w:rsidR="00E01DAD" w:rsidRPr="00C87A4D"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20. </w:t>
      </w:r>
      <w:r w:rsidR="00C87A4D">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2.3 says CMAP will not pay for any GenAI tool or related costs. Does that apply to AI features embedded in the proposed platform, or only to the consultant’s own tooling? If AI is sold as an add-on SKU, should it be priced as optional?</w:t>
      </w:r>
      <w:r w:rsidR="00C87A4D">
        <w:rPr>
          <w:rFonts w:asciiTheme="majorHAnsi" w:hAnsiTheme="majorHAnsi" w:cstheme="majorHAnsi"/>
          <w:b/>
          <w:color w:val="000000"/>
          <w:sz w:val="24"/>
          <w:szCs w:val="24"/>
        </w:rPr>
        <w:t xml:space="preserve"> </w:t>
      </w:r>
      <w:r w:rsidRPr="00C87A4D">
        <w:rPr>
          <w:rFonts w:asciiTheme="majorHAnsi" w:hAnsiTheme="majorHAnsi" w:cstheme="majorHAnsi"/>
          <w:i/>
          <w:iCs/>
          <w:color w:val="1A1A1A"/>
          <w:sz w:val="24"/>
          <w:szCs w:val="24"/>
        </w:rPr>
        <w:t>Answer: Please reference RFP.</w:t>
      </w:r>
    </w:p>
    <w:p w14:paraId="50B98579" w14:textId="5D8504A3" w:rsidR="00E01DAD" w:rsidRPr="00C87A4D"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21. </w:t>
      </w:r>
      <w:r w:rsidR="00C87A4D">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Will CMAP accept the vendor’s standard SaaS subscription terms, DPA, and SLA as an exhibit? Section 2.2 says exceptions must be stated in the Proposal Submittal Form. Is there a page limit or format for exceptions?</w:t>
      </w:r>
      <w:r w:rsidR="00C87A4D">
        <w:rPr>
          <w:rFonts w:asciiTheme="majorHAnsi" w:hAnsiTheme="majorHAnsi" w:cstheme="majorHAnsi"/>
          <w:b/>
          <w:color w:val="000000"/>
          <w:sz w:val="24"/>
          <w:szCs w:val="24"/>
        </w:rPr>
        <w:t xml:space="preserve"> </w:t>
      </w:r>
      <w:r w:rsidRPr="00C87A4D">
        <w:rPr>
          <w:rFonts w:asciiTheme="majorHAnsi" w:hAnsiTheme="majorHAnsi" w:cstheme="majorHAnsi"/>
          <w:i/>
          <w:iCs/>
          <w:color w:val="1A1A1A"/>
          <w:sz w:val="24"/>
          <w:szCs w:val="24"/>
        </w:rPr>
        <w:t>Answer: Please reference RFP.</w:t>
      </w:r>
    </w:p>
    <w:p w14:paraId="21AE899D" w14:textId="63C307CB"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22. </w:t>
      </w:r>
      <w:r w:rsidR="00C87A4D">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Attachment 2A allows termination for convenience on 7 days’ notice. For prepaid annual subscriptions, will CMAP refund unused fees on termination, or does it expect the subscription to be non-cancelable within a paid year?</w:t>
      </w:r>
      <w:r w:rsidR="00C87A4D">
        <w:rPr>
          <w:rFonts w:asciiTheme="majorHAnsi" w:hAnsiTheme="majorHAnsi" w:cstheme="majorHAnsi"/>
          <w:b/>
          <w:color w:val="000000"/>
          <w:sz w:val="24"/>
          <w:szCs w:val="24"/>
        </w:rPr>
        <w:t xml:space="preserve"> </w:t>
      </w:r>
      <w:r w:rsidRPr="00C87A4D">
        <w:rPr>
          <w:rFonts w:asciiTheme="majorHAnsi" w:hAnsiTheme="majorHAnsi" w:cstheme="majorHAnsi"/>
          <w:i/>
          <w:iCs/>
          <w:color w:val="1A1A1A"/>
          <w:sz w:val="24"/>
          <w:szCs w:val="24"/>
        </w:rPr>
        <w:t>Answer: Please reference Attachment. The General Terms and Conditions, termination for convenience paragraph states termination for convenience on seven days' notice. A non-cancelable annual term must be stated as an exception in the Proposal Submittal Form.</w:t>
      </w:r>
    </w:p>
    <w:p w14:paraId="5CFA0BEA" w14:textId="0220CE29"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23. </w:t>
      </w:r>
      <w:r w:rsidR="00C87A4D">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Please confirm vendors need to fill out the reference information in the Proposal Submittal Form as well as Attachment 3 - Reference Questionnaire. Also please confirm, Attachment 3 is left blank except for the top half.</w:t>
      </w:r>
      <w:r w:rsidR="00C87A4D">
        <w:rPr>
          <w:rFonts w:asciiTheme="majorHAnsi" w:hAnsiTheme="majorHAnsi" w:cstheme="majorHAnsi"/>
          <w:b/>
          <w:color w:val="000000"/>
          <w:sz w:val="24"/>
          <w:szCs w:val="24"/>
        </w:rPr>
        <w:t xml:space="preserve"> </w:t>
      </w:r>
      <w:r w:rsidRPr="00C87A4D">
        <w:rPr>
          <w:rFonts w:asciiTheme="majorHAnsi" w:hAnsiTheme="majorHAnsi" w:cstheme="majorHAnsi"/>
          <w:i/>
          <w:iCs/>
          <w:color w:val="1A1A1A"/>
          <w:sz w:val="24"/>
          <w:szCs w:val="24"/>
        </w:rPr>
        <w:t xml:space="preserve">Answer: </w:t>
      </w:r>
      <w:r w:rsidR="00643838">
        <w:rPr>
          <w:rFonts w:asciiTheme="majorHAnsi" w:hAnsiTheme="majorHAnsi" w:cstheme="majorHAnsi"/>
          <w:i/>
          <w:iCs/>
          <w:color w:val="1A1A1A"/>
          <w:sz w:val="24"/>
          <w:szCs w:val="24"/>
        </w:rPr>
        <w:t xml:space="preserve">Yes. </w:t>
      </w:r>
      <w:r w:rsidRPr="00C87A4D">
        <w:rPr>
          <w:rFonts w:asciiTheme="majorHAnsi" w:hAnsiTheme="majorHAnsi" w:cstheme="majorHAnsi"/>
          <w:i/>
          <w:iCs/>
          <w:color w:val="1A1A1A"/>
          <w:sz w:val="24"/>
          <w:szCs w:val="24"/>
        </w:rPr>
        <w:t>Please reference</w:t>
      </w:r>
      <w:r w:rsidR="00643838">
        <w:rPr>
          <w:rFonts w:asciiTheme="majorHAnsi" w:hAnsiTheme="majorHAnsi" w:cstheme="majorHAnsi"/>
          <w:i/>
          <w:iCs/>
          <w:color w:val="1A1A1A"/>
          <w:sz w:val="24"/>
          <w:szCs w:val="24"/>
        </w:rPr>
        <w:t xml:space="preserve"> instructions provided in </w:t>
      </w:r>
      <w:r>
        <w:rPr>
          <w:rFonts w:asciiTheme="majorHAnsi" w:hAnsiTheme="majorHAnsi" w:cstheme="majorHAnsi"/>
          <w:i/>
          <w:iCs/>
          <w:color w:val="1A1A1A"/>
          <w:sz w:val="24"/>
          <w:szCs w:val="24"/>
        </w:rPr>
        <w:t>appropriate</w:t>
      </w:r>
      <w:r w:rsidRPr="00C87A4D">
        <w:rPr>
          <w:rFonts w:asciiTheme="majorHAnsi" w:hAnsiTheme="majorHAnsi" w:cstheme="majorHAnsi"/>
          <w:i/>
          <w:iCs/>
          <w:color w:val="1A1A1A"/>
          <w:sz w:val="24"/>
          <w:szCs w:val="24"/>
        </w:rPr>
        <w:t xml:space="preserve"> Attachment. The Reference Questionnaire and the </w:t>
      </w:r>
      <w:r w:rsidRPr="00C87A4D">
        <w:rPr>
          <w:rFonts w:asciiTheme="majorHAnsi" w:hAnsiTheme="majorHAnsi" w:cstheme="majorHAnsi"/>
          <w:i/>
          <w:iCs/>
          <w:color w:val="1A1A1A"/>
          <w:sz w:val="24"/>
          <w:szCs w:val="24"/>
        </w:rPr>
        <w:lastRenderedPageBreak/>
        <w:t>References tab of the Proposal Submittal Form are both required.</w:t>
      </w:r>
      <w:r w:rsidR="00C87A4D">
        <w:rPr>
          <w:rFonts w:asciiTheme="majorHAnsi" w:hAnsiTheme="majorHAnsi" w:cstheme="majorHAnsi"/>
          <w:i/>
          <w:iCs/>
          <w:color w:val="1A1A1A"/>
          <w:sz w:val="24"/>
          <w:szCs w:val="24"/>
        </w:rPr>
        <w:t xml:space="preserve"> Yes. The document is intentionally left blank.</w:t>
      </w:r>
    </w:p>
    <w:p w14:paraId="6A07A161" w14:textId="7BA4E091"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24. </w:t>
      </w:r>
      <w:r w:rsidR="00C87A4D">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Please confirm that CMAP staff will be reaching out to references to confirm project details and that vendors are not required to send the reference questionnaire to our contacts.</w:t>
      </w:r>
      <w:r w:rsidR="00C87A4D">
        <w:rPr>
          <w:rFonts w:asciiTheme="majorHAnsi" w:hAnsiTheme="majorHAnsi" w:cstheme="majorHAnsi"/>
          <w:b/>
          <w:color w:val="000000"/>
          <w:sz w:val="24"/>
          <w:szCs w:val="24"/>
        </w:rPr>
        <w:t xml:space="preserve"> </w:t>
      </w:r>
      <w:r w:rsidRPr="00C87A4D">
        <w:rPr>
          <w:rFonts w:asciiTheme="majorHAnsi" w:hAnsiTheme="majorHAnsi" w:cstheme="majorHAnsi"/>
          <w:i/>
          <w:iCs/>
          <w:color w:val="1A1A1A"/>
          <w:sz w:val="24"/>
          <w:szCs w:val="24"/>
        </w:rPr>
        <w:t xml:space="preserve">Answer: Please reference </w:t>
      </w:r>
      <w:r w:rsidR="008528C9">
        <w:rPr>
          <w:rFonts w:asciiTheme="majorHAnsi" w:hAnsiTheme="majorHAnsi" w:cstheme="majorHAnsi"/>
          <w:i/>
          <w:iCs/>
          <w:color w:val="1A1A1A"/>
          <w:sz w:val="24"/>
          <w:szCs w:val="24"/>
        </w:rPr>
        <w:t xml:space="preserve">instructions on the References </w:t>
      </w:r>
      <w:r w:rsidRPr="00C87A4D">
        <w:rPr>
          <w:rFonts w:asciiTheme="majorHAnsi" w:hAnsiTheme="majorHAnsi" w:cstheme="majorHAnsi"/>
          <w:i/>
          <w:iCs/>
          <w:color w:val="1A1A1A"/>
          <w:sz w:val="24"/>
          <w:szCs w:val="24"/>
        </w:rPr>
        <w:t>Attachment</w:t>
      </w:r>
      <w:r w:rsidR="008528C9">
        <w:rPr>
          <w:rFonts w:asciiTheme="majorHAnsi" w:hAnsiTheme="majorHAnsi" w:cstheme="majorHAnsi"/>
          <w:i/>
          <w:iCs/>
          <w:color w:val="1A1A1A"/>
          <w:sz w:val="24"/>
          <w:szCs w:val="24"/>
        </w:rPr>
        <w:t xml:space="preserve"> and RFP</w:t>
      </w:r>
      <w:r w:rsidRPr="00C87A4D">
        <w:rPr>
          <w:rFonts w:asciiTheme="majorHAnsi" w:hAnsiTheme="majorHAnsi" w:cstheme="majorHAnsi"/>
          <w:i/>
          <w:iCs/>
          <w:color w:val="1A1A1A"/>
          <w:sz w:val="24"/>
          <w:szCs w:val="24"/>
        </w:rPr>
        <w:t>. The Reference Questionnaire provides that CMAP staff contact references directly; proposers are not required to send the questionnaire to their references.</w:t>
      </w:r>
    </w:p>
    <w:p w14:paraId="0A07A800" w14:textId="2F8A124E" w:rsidR="008528C9" w:rsidRDefault="008A0E6A" w:rsidP="00FA4247">
      <w:pPr>
        <w:spacing w:before="120" w:after="120" w:line="240" w:lineRule="auto"/>
        <w:ind w:left="-540" w:right="-720" w:hanging="630"/>
        <w:rPr>
          <w:rFonts w:asciiTheme="majorHAnsi" w:hAnsiTheme="majorHAnsi" w:cstheme="majorHAnsi"/>
          <w:color w:val="1A1A1A"/>
          <w:sz w:val="24"/>
          <w:szCs w:val="24"/>
        </w:rPr>
      </w:pPr>
      <w:r w:rsidRPr="00410576">
        <w:rPr>
          <w:rFonts w:asciiTheme="majorHAnsi" w:hAnsiTheme="majorHAnsi" w:cstheme="majorHAnsi"/>
          <w:b/>
          <w:color w:val="000000"/>
          <w:sz w:val="24"/>
          <w:szCs w:val="24"/>
        </w:rPr>
        <w:t xml:space="preserve">25. </w:t>
      </w:r>
      <w:r w:rsidR="008528C9">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Please confirm that CMAP requires vendors to address its scope of work requirements within the body of the Narrative Statement. If not, please let us know the appropriate form to use</w:t>
      </w:r>
      <w:r w:rsidR="008528C9">
        <w:rPr>
          <w:rFonts w:asciiTheme="majorHAnsi" w:hAnsiTheme="majorHAnsi" w:cstheme="majorHAnsi"/>
          <w:b/>
          <w:color w:val="000000"/>
          <w:sz w:val="24"/>
          <w:szCs w:val="24"/>
        </w:rPr>
        <w:t xml:space="preserve">? </w:t>
      </w:r>
      <w:r w:rsidRPr="008528C9">
        <w:rPr>
          <w:rFonts w:asciiTheme="majorHAnsi" w:hAnsiTheme="majorHAnsi" w:cstheme="majorHAnsi"/>
          <w:i/>
          <w:iCs/>
          <w:color w:val="1A1A1A"/>
          <w:sz w:val="24"/>
          <w:szCs w:val="24"/>
        </w:rPr>
        <w:t>Answer: Please reference RFP.</w:t>
      </w:r>
      <w:r w:rsidR="008528C9">
        <w:rPr>
          <w:rFonts w:asciiTheme="majorHAnsi" w:hAnsiTheme="majorHAnsi" w:cstheme="majorHAnsi"/>
          <w:color w:val="1A1A1A"/>
          <w:sz w:val="24"/>
          <w:szCs w:val="24"/>
        </w:rPr>
        <w:t xml:space="preserve"> </w:t>
      </w:r>
    </w:p>
    <w:p w14:paraId="06B99A01" w14:textId="04ED1205"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26. </w:t>
      </w:r>
      <w:r w:rsidR="008528C9">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Is it possible to obtain a Word or Excel Version of the supplemental attachments needed to be filled in?</w:t>
      </w:r>
      <w:r w:rsidR="008528C9">
        <w:rPr>
          <w:rFonts w:asciiTheme="majorHAnsi" w:hAnsiTheme="majorHAnsi" w:cstheme="majorHAnsi"/>
          <w:b/>
          <w:color w:val="000000"/>
          <w:sz w:val="24"/>
          <w:szCs w:val="24"/>
        </w:rPr>
        <w:t xml:space="preserve"> </w:t>
      </w:r>
      <w:r w:rsidRPr="008528C9">
        <w:rPr>
          <w:rFonts w:asciiTheme="majorHAnsi" w:hAnsiTheme="majorHAnsi" w:cstheme="majorHAnsi"/>
          <w:i/>
          <w:iCs/>
          <w:color w:val="1A1A1A"/>
          <w:sz w:val="24"/>
          <w:szCs w:val="24"/>
        </w:rPr>
        <w:t xml:space="preserve">Answer: </w:t>
      </w:r>
      <w:r w:rsidR="008528C9" w:rsidRPr="008528C9">
        <w:rPr>
          <w:rFonts w:asciiTheme="majorHAnsi" w:hAnsiTheme="majorHAnsi" w:cstheme="majorHAnsi"/>
          <w:i/>
          <w:iCs/>
          <w:color w:val="1A1A1A"/>
          <w:sz w:val="24"/>
          <w:szCs w:val="24"/>
        </w:rPr>
        <w:t>Documents to be used can be downloaded from cmap.illinois.gov/procurement.</w:t>
      </w:r>
      <w:r w:rsidR="008528C9">
        <w:rPr>
          <w:rFonts w:asciiTheme="majorHAnsi" w:hAnsiTheme="majorHAnsi" w:cstheme="majorHAnsi"/>
          <w:color w:val="1A1A1A"/>
          <w:sz w:val="24"/>
          <w:szCs w:val="24"/>
        </w:rPr>
        <w:t xml:space="preserve"> </w:t>
      </w:r>
    </w:p>
    <w:p w14:paraId="0BBEC5AD" w14:textId="60B8E54D" w:rsidR="00E01DAD" w:rsidRPr="008528C9"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27. </w:t>
      </w:r>
      <w:r w:rsidR="008528C9">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Would CMAP consider providing an extension to the due date in order for us to prepare the most complete response possible?</w:t>
      </w:r>
      <w:r w:rsidR="008528C9">
        <w:rPr>
          <w:rFonts w:asciiTheme="majorHAnsi" w:hAnsiTheme="majorHAnsi" w:cstheme="majorHAnsi"/>
          <w:b/>
          <w:color w:val="000000"/>
          <w:sz w:val="24"/>
          <w:szCs w:val="24"/>
        </w:rPr>
        <w:t xml:space="preserve"> </w:t>
      </w:r>
      <w:r w:rsidRPr="008528C9">
        <w:rPr>
          <w:rFonts w:asciiTheme="majorHAnsi" w:hAnsiTheme="majorHAnsi" w:cstheme="majorHAnsi"/>
          <w:i/>
          <w:iCs/>
          <w:color w:val="1A1A1A"/>
          <w:sz w:val="24"/>
          <w:szCs w:val="24"/>
        </w:rPr>
        <w:t>Answer: CMAP does not anticipate extending the proposal due date. Proposers should submit their best offer.</w:t>
      </w:r>
    </w:p>
    <w:p w14:paraId="4176B3AA" w14:textId="5B238315" w:rsidR="00E01DAD" w:rsidRPr="00643838"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28. </w:t>
      </w:r>
      <w:r w:rsidR="008528C9">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Can authorized global team members remotely access CMAP-approved development and testing environments under appropriate security controls, while ensuring that CMAP data remains hosted within approved U.S.-based environments and that all applicable data protection requirements are maintained?</w:t>
      </w:r>
      <w:r w:rsidR="00643838">
        <w:rPr>
          <w:rFonts w:asciiTheme="majorHAnsi" w:hAnsiTheme="majorHAnsi" w:cstheme="majorHAnsi"/>
          <w:b/>
          <w:color w:val="000000"/>
          <w:sz w:val="24"/>
          <w:szCs w:val="24"/>
        </w:rPr>
        <w:t xml:space="preserve"> </w:t>
      </w:r>
      <w:r w:rsidRPr="00643838">
        <w:rPr>
          <w:rFonts w:asciiTheme="majorHAnsi" w:hAnsiTheme="majorHAnsi" w:cstheme="majorHAnsi"/>
          <w:i/>
          <w:iCs/>
          <w:color w:val="1A1A1A"/>
          <w:sz w:val="24"/>
          <w:szCs w:val="24"/>
        </w:rPr>
        <w:t xml:space="preserve">Answer: Please reference RFP. </w:t>
      </w:r>
    </w:p>
    <w:p w14:paraId="4033D4CD" w14:textId="32828B6A" w:rsidR="00E01DAD" w:rsidRPr="00643838"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29. </w:t>
      </w:r>
      <w:r w:rsidR="00643838">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Does your organization have an estimated budget for this project? If so what is the budget?</w:t>
      </w:r>
      <w:r w:rsidR="00643838">
        <w:rPr>
          <w:rFonts w:asciiTheme="majorHAnsi" w:hAnsiTheme="majorHAnsi" w:cstheme="majorHAnsi"/>
          <w:b/>
          <w:color w:val="000000"/>
          <w:sz w:val="24"/>
          <w:szCs w:val="24"/>
        </w:rPr>
        <w:t xml:space="preserve"> </w:t>
      </w:r>
      <w:r w:rsidRPr="00643838">
        <w:rPr>
          <w:rFonts w:asciiTheme="majorHAnsi" w:hAnsiTheme="majorHAnsi" w:cstheme="majorHAnsi"/>
          <w:i/>
          <w:iCs/>
          <w:color w:val="1A1A1A"/>
          <w:sz w:val="24"/>
          <w:szCs w:val="24"/>
        </w:rPr>
        <w:t>Answer: Please reference question number 13.</w:t>
      </w:r>
    </w:p>
    <w:p w14:paraId="4BD98C33" w14:textId="53B7E51A" w:rsidR="00E01DAD" w:rsidRPr="00643838"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30. </w:t>
      </w:r>
      <w:r w:rsidR="00643838">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User Licensing: Of the 100/150/200 named users, how many total users? How many internal users will require administrative level access? How many internal users will require the ability to be able to add vendors/clients? How many internal users will require request, add, or approve a contract in the system? How many internal users will require read-only access? How many internal users do you project require access to the system at any given time?</w:t>
      </w:r>
      <w:r w:rsidR="00643838">
        <w:rPr>
          <w:rFonts w:asciiTheme="majorHAnsi" w:hAnsiTheme="majorHAnsi" w:cstheme="majorHAnsi"/>
          <w:b/>
          <w:color w:val="000000"/>
          <w:sz w:val="24"/>
          <w:szCs w:val="24"/>
        </w:rPr>
        <w:t xml:space="preserve"> </w:t>
      </w:r>
      <w:r w:rsidRPr="00643838">
        <w:rPr>
          <w:rFonts w:asciiTheme="majorHAnsi" w:hAnsiTheme="majorHAnsi" w:cstheme="majorHAnsi"/>
          <w:i/>
          <w:iCs/>
          <w:color w:val="1A1A1A"/>
          <w:sz w:val="24"/>
          <w:szCs w:val="24"/>
        </w:rPr>
        <w:t>Answer: Please reference question numbers 15 and 6. Role-by-role counts are not separately tracked; price approximately 200 named users.</w:t>
      </w:r>
    </w:p>
    <w:p w14:paraId="1B93AC81" w14:textId="58BB4BFC"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31. </w:t>
      </w:r>
      <w:r w:rsidR="00643838">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Regarding the eProcurement module, how many total users? How many users need access to the contract management module? How many users need access to the bid module?</w:t>
      </w:r>
      <w:r w:rsidR="00643838">
        <w:rPr>
          <w:rFonts w:asciiTheme="majorHAnsi" w:hAnsiTheme="majorHAnsi" w:cstheme="majorHAnsi"/>
          <w:b/>
          <w:color w:val="000000"/>
          <w:sz w:val="24"/>
          <w:szCs w:val="24"/>
        </w:rPr>
        <w:t xml:space="preserve"> </w:t>
      </w:r>
      <w:r w:rsidRPr="00643838">
        <w:rPr>
          <w:rFonts w:asciiTheme="majorHAnsi" w:hAnsiTheme="majorHAnsi" w:cstheme="majorHAnsi"/>
          <w:i/>
          <w:iCs/>
          <w:color w:val="1A1A1A"/>
          <w:sz w:val="24"/>
          <w:szCs w:val="24"/>
        </w:rPr>
        <w:t>Answer: Please reference question number 15.</w:t>
      </w:r>
    </w:p>
    <w:p w14:paraId="376D9431" w14:textId="403C5F77" w:rsidR="00E01DAD" w:rsidRPr="00643838"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32. </w:t>
      </w:r>
      <w:r w:rsidR="00643838">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AI: Is your organization in need of enhanced generative AI features for contract review and data &amp; risk analysis? If so, how many contracts per month do you believe will need to be run through the AI software? What is the typical page count for your contracts? Is this something you want available to all users?</w:t>
      </w:r>
      <w:r w:rsidR="00643838">
        <w:rPr>
          <w:rFonts w:asciiTheme="majorHAnsi" w:hAnsiTheme="majorHAnsi" w:cstheme="majorHAnsi"/>
          <w:b/>
          <w:color w:val="000000"/>
          <w:sz w:val="24"/>
          <w:szCs w:val="24"/>
        </w:rPr>
        <w:t xml:space="preserve"> </w:t>
      </w:r>
      <w:r w:rsidRPr="00643838">
        <w:rPr>
          <w:rFonts w:asciiTheme="majorHAnsi" w:hAnsiTheme="majorHAnsi" w:cstheme="majorHAnsi"/>
          <w:i/>
          <w:iCs/>
          <w:color w:val="1A1A1A"/>
          <w:sz w:val="24"/>
          <w:szCs w:val="24"/>
        </w:rPr>
        <w:t>Answer: Please reference RFP</w:t>
      </w:r>
      <w:r w:rsidR="00643838">
        <w:rPr>
          <w:rFonts w:asciiTheme="majorHAnsi" w:hAnsiTheme="majorHAnsi" w:cstheme="majorHAnsi"/>
          <w:i/>
          <w:iCs/>
          <w:color w:val="1A1A1A"/>
          <w:sz w:val="24"/>
          <w:szCs w:val="24"/>
        </w:rPr>
        <w:t>.</w:t>
      </w:r>
    </w:p>
    <w:p w14:paraId="4875E198" w14:textId="57D1362C"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33. </w:t>
      </w:r>
      <w:r w:rsidR="00643838">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Test Environment: Does your organization require a test environment? If so, how many users do you anticipate require access?</w:t>
      </w:r>
      <w:r w:rsidR="00643838">
        <w:rPr>
          <w:rFonts w:asciiTheme="majorHAnsi" w:hAnsiTheme="majorHAnsi" w:cstheme="majorHAnsi"/>
          <w:b/>
          <w:color w:val="000000"/>
          <w:sz w:val="24"/>
          <w:szCs w:val="24"/>
        </w:rPr>
        <w:t xml:space="preserve"> </w:t>
      </w:r>
      <w:r w:rsidRPr="00643838">
        <w:rPr>
          <w:rFonts w:asciiTheme="majorHAnsi" w:hAnsiTheme="majorHAnsi" w:cstheme="majorHAnsi"/>
          <w:i/>
          <w:iCs/>
          <w:color w:val="1A1A1A"/>
          <w:sz w:val="24"/>
          <w:szCs w:val="24"/>
        </w:rPr>
        <w:t>Answer: Yes. A test environment is required; please reference Attachment. Concurrent test access for approximately 2 to 3 users is expected.</w:t>
      </w:r>
    </w:p>
    <w:p w14:paraId="0C43861C" w14:textId="58EF7F5B"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34. </w:t>
      </w:r>
      <w:r w:rsidR="00643838">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eSignature: Does your organization require an electronic signature tool? If so, are you currently utilizing a specific product and which tool are you using?</w:t>
      </w:r>
      <w:r w:rsidR="00643838">
        <w:rPr>
          <w:rFonts w:asciiTheme="majorHAnsi" w:hAnsiTheme="majorHAnsi" w:cstheme="majorHAnsi"/>
          <w:b/>
          <w:color w:val="000000"/>
          <w:sz w:val="24"/>
          <w:szCs w:val="24"/>
        </w:rPr>
        <w:t xml:space="preserve"> </w:t>
      </w:r>
      <w:r w:rsidRPr="00643838">
        <w:rPr>
          <w:rFonts w:asciiTheme="majorHAnsi" w:hAnsiTheme="majorHAnsi" w:cstheme="majorHAnsi"/>
          <w:i/>
          <w:iCs/>
          <w:color w:val="1A1A1A"/>
          <w:sz w:val="24"/>
          <w:szCs w:val="24"/>
        </w:rPr>
        <w:t xml:space="preserve">Answer: Yes. CMAP </w:t>
      </w:r>
      <w:r w:rsidRPr="00643838">
        <w:rPr>
          <w:rFonts w:asciiTheme="majorHAnsi" w:hAnsiTheme="majorHAnsi" w:cstheme="majorHAnsi"/>
          <w:i/>
          <w:iCs/>
          <w:color w:val="1A1A1A"/>
          <w:sz w:val="24"/>
          <w:szCs w:val="24"/>
        </w:rPr>
        <w:lastRenderedPageBreak/>
        <w:t>expects electronic signature capability; no specific product is mandated. Include native capability or an integration in your best offer.</w:t>
      </w:r>
    </w:p>
    <w:p w14:paraId="67C312C4" w14:textId="188D08D0" w:rsidR="00E01DAD" w:rsidRPr="009004DE"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35. </w:t>
      </w:r>
      <w:r w:rsidR="009004DE">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Data Import: Can you confirm he numbers regarding the requested data import/migration services? Please indicate number of electronic files to be imported, number of metadata records current storage location of legacy contract files.</w:t>
      </w:r>
      <w:r w:rsidR="009004DE">
        <w:rPr>
          <w:rFonts w:asciiTheme="majorHAnsi" w:hAnsiTheme="majorHAnsi" w:cstheme="majorHAnsi"/>
          <w:b/>
          <w:color w:val="000000"/>
          <w:sz w:val="24"/>
          <w:szCs w:val="24"/>
        </w:rPr>
        <w:t xml:space="preserve"> </w:t>
      </w:r>
      <w:r w:rsidRPr="009004DE">
        <w:rPr>
          <w:rFonts w:asciiTheme="majorHAnsi" w:hAnsiTheme="majorHAnsi" w:cstheme="majorHAnsi"/>
          <w:i/>
          <w:iCs/>
          <w:color w:val="1A1A1A"/>
          <w:sz w:val="24"/>
          <w:szCs w:val="24"/>
        </w:rPr>
        <w:t xml:space="preserve">Answer: Please reference question number </w:t>
      </w:r>
      <w:r w:rsidR="009004DE">
        <w:rPr>
          <w:rFonts w:asciiTheme="majorHAnsi" w:hAnsiTheme="majorHAnsi" w:cstheme="majorHAnsi"/>
          <w:i/>
          <w:iCs/>
          <w:color w:val="1A1A1A"/>
          <w:sz w:val="24"/>
          <w:szCs w:val="24"/>
        </w:rPr>
        <w:t>4</w:t>
      </w:r>
      <w:r w:rsidRPr="009004DE">
        <w:rPr>
          <w:rFonts w:asciiTheme="majorHAnsi" w:hAnsiTheme="majorHAnsi" w:cstheme="majorHAnsi"/>
          <w:i/>
          <w:iCs/>
          <w:color w:val="1A1A1A"/>
          <w:sz w:val="24"/>
          <w:szCs w:val="24"/>
        </w:rPr>
        <w:t>.</w:t>
      </w:r>
    </w:p>
    <w:p w14:paraId="2D16D794" w14:textId="5362CB63"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36. </w:t>
      </w:r>
      <w:r w:rsidR="009004DE">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Data Integration: Please include additional details on third-party systems that will be integrated with the CLM tool. (e.g. Microsoft Dynamics 365 and any other specified third-party systems) Will the integration by one-way or bi-directional? What type of data will be exchanged from your third-party system? (contracts, vendors, invoices, etc) Do you need documents/attachments included in this integration? Briefly describe the business process the integration will support? Is the third-party tool SaaS/Cloud based or deployed on your server? Are you able to confirm is an API is available for the required integration with the third-party tool?</w:t>
      </w:r>
      <w:r w:rsidR="009004DE">
        <w:rPr>
          <w:rFonts w:asciiTheme="majorHAnsi" w:hAnsiTheme="majorHAnsi" w:cstheme="majorHAnsi"/>
          <w:b/>
          <w:color w:val="000000"/>
          <w:sz w:val="24"/>
          <w:szCs w:val="24"/>
        </w:rPr>
        <w:t xml:space="preserve"> </w:t>
      </w:r>
      <w:r w:rsidRPr="009004DE">
        <w:rPr>
          <w:rFonts w:asciiTheme="majorHAnsi" w:hAnsiTheme="majorHAnsi" w:cstheme="majorHAnsi"/>
          <w:i/>
          <w:iCs/>
          <w:color w:val="1A1A1A"/>
          <w:sz w:val="24"/>
          <w:szCs w:val="24"/>
        </w:rPr>
        <w:t xml:space="preserve">Answer: Please reference RFP; please also </w:t>
      </w:r>
      <w:r w:rsidR="009004DE">
        <w:rPr>
          <w:rFonts w:asciiTheme="majorHAnsi" w:hAnsiTheme="majorHAnsi" w:cstheme="majorHAnsi"/>
          <w:i/>
          <w:iCs/>
          <w:color w:val="1A1A1A"/>
          <w:sz w:val="24"/>
          <w:szCs w:val="24"/>
        </w:rPr>
        <w:t>see</w:t>
      </w:r>
      <w:r w:rsidRPr="009004DE">
        <w:rPr>
          <w:rFonts w:asciiTheme="majorHAnsi" w:hAnsiTheme="majorHAnsi" w:cstheme="majorHAnsi"/>
          <w:i/>
          <w:iCs/>
          <w:color w:val="1A1A1A"/>
          <w:sz w:val="24"/>
          <w:szCs w:val="24"/>
        </w:rPr>
        <w:t xml:space="preserve"> question number 2.</w:t>
      </w:r>
    </w:p>
    <w:p w14:paraId="521F1931" w14:textId="61E53010"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37. </w:t>
      </w:r>
      <w:r w:rsidR="009004DE">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Document Templates: In addition to training administrative users on configuring templates within the user interface, we also offer professional services to configure templates on the client’s behalf. Please confirm whether professional services are required for template configuration. If so, please indicate the number of templates the awarded vendor would be expected to configure.</w:t>
      </w:r>
      <w:r w:rsidR="009004DE">
        <w:rPr>
          <w:rFonts w:asciiTheme="majorHAnsi" w:hAnsiTheme="majorHAnsi" w:cstheme="majorHAnsi"/>
          <w:b/>
          <w:color w:val="000000"/>
          <w:sz w:val="24"/>
          <w:szCs w:val="24"/>
        </w:rPr>
        <w:t xml:space="preserve"> </w:t>
      </w:r>
      <w:r w:rsidRPr="009004DE">
        <w:rPr>
          <w:rFonts w:asciiTheme="majorHAnsi" w:hAnsiTheme="majorHAnsi" w:cstheme="majorHAnsi"/>
          <w:i/>
          <w:iCs/>
          <w:color w:val="1A1A1A"/>
          <w:sz w:val="24"/>
          <w:szCs w:val="24"/>
        </w:rPr>
        <w:t>Answer: Please reference RF</w:t>
      </w:r>
      <w:r w:rsidR="009004DE">
        <w:rPr>
          <w:rFonts w:asciiTheme="majorHAnsi" w:hAnsiTheme="majorHAnsi" w:cstheme="majorHAnsi"/>
          <w:i/>
          <w:iCs/>
          <w:color w:val="1A1A1A"/>
          <w:sz w:val="24"/>
          <w:szCs w:val="24"/>
        </w:rPr>
        <w:t>P.</w:t>
      </w:r>
    </w:p>
    <w:p w14:paraId="0AA8F056" w14:textId="6158858D"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38. </w:t>
      </w:r>
      <w:r w:rsidR="009004DE">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Workflow: In addition to training administrative users on configuring workflows within the user interface, we also offer professional services to configure workflows on the client’s behalf. Please confirm whether professional services are required for workflow configuration. If so, please indicate the number of workflows the awarded vendor would be expected to configure.</w:t>
      </w:r>
      <w:r w:rsidR="009004DE">
        <w:rPr>
          <w:rFonts w:asciiTheme="majorHAnsi" w:hAnsiTheme="majorHAnsi" w:cstheme="majorHAnsi"/>
          <w:b/>
          <w:color w:val="000000"/>
          <w:sz w:val="24"/>
          <w:szCs w:val="24"/>
        </w:rPr>
        <w:t xml:space="preserve"> </w:t>
      </w:r>
      <w:r w:rsidRPr="009004DE">
        <w:rPr>
          <w:rFonts w:asciiTheme="majorHAnsi" w:hAnsiTheme="majorHAnsi" w:cstheme="majorHAnsi"/>
          <w:i/>
          <w:iCs/>
          <w:color w:val="1A1A1A"/>
          <w:sz w:val="24"/>
          <w:szCs w:val="24"/>
        </w:rPr>
        <w:t>Answer: Please reference RFP</w:t>
      </w:r>
      <w:r w:rsidR="009004DE">
        <w:rPr>
          <w:rFonts w:asciiTheme="majorHAnsi" w:hAnsiTheme="majorHAnsi" w:cstheme="majorHAnsi"/>
          <w:i/>
          <w:iCs/>
          <w:color w:val="1A1A1A"/>
          <w:sz w:val="24"/>
          <w:szCs w:val="24"/>
        </w:rPr>
        <w:t>.</w:t>
      </w:r>
    </w:p>
    <w:p w14:paraId="6775538C" w14:textId="7C7F62D7" w:rsidR="00E01DAD" w:rsidRPr="009004DE"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39. </w:t>
      </w:r>
      <w:r w:rsidR="009004DE">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Implementation/Support: Does your organization require a full-time dedicated Project Manager for this implementation? Typically, implementations to not require a full-time dedicated project management resource for the project duration, but rather project management/coordination services hours (remote) can be included with the proposal to support the implementation project management. If a full-time dedicated project management resource is a requirement for this project, are these services expected to be provided online/remote or onsite?</w:t>
      </w:r>
      <w:r w:rsidR="009004DE">
        <w:rPr>
          <w:rFonts w:asciiTheme="majorHAnsi" w:hAnsiTheme="majorHAnsi" w:cstheme="majorHAnsi"/>
          <w:b/>
          <w:color w:val="000000"/>
          <w:sz w:val="24"/>
          <w:szCs w:val="24"/>
        </w:rPr>
        <w:t xml:space="preserve"> </w:t>
      </w:r>
      <w:r w:rsidRPr="009004DE">
        <w:rPr>
          <w:rFonts w:asciiTheme="majorHAnsi" w:hAnsiTheme="majorHAnsi" w:cstheme="majorHAnsi"/>
          <w:i/>
          <w:iCs/>
          <w:color w:val="1A1A1A"/>
          <w:sz w:val="24"/>
          <w:szCs w:val="24"/>
        </w:rPr>
        <w:t xml:space="preserve">Answer: Please reference RFP. </w:t>
      </w:r>
    </w:p>
    <w:p w14:paraId="472E5B92" w14:textId="65BE71B0"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40. </w:t>
      </w:r>
      <w:r w:rsidR="009004DE">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Can you please elaborate on your expectations around hypercare?</w:t>
      </w:r>
      <w:r w:rsidR="009004DE">
        <w:rPr>
          <w:rFonts w:asciiTheme="majorHAnsi" w:hAnsiTheme="majorHAnsi" w:cstheme="majorHAnsi"/>
          <w:b/>
          <w:color w:val="000000"/>
          <w:sz w:val="24"/>
          <w:szCs w:val="24"/>
        </w:rPr>
        <w:t xml:space="preserve"> </w:t>
      </w:r>
      <w:r w:rsidRPr="009004DE">
        <w:rPr>
          <w:rFonts w:asciiTheme="majorHAnsi" w:hAnsiTheme="majorHAnsi" w:cstheme="majorHAnsi"/>
          <w:i/>
          <w:iCs/>
          <w:color w:val="1A1A1A"/>
          <w:sz w:val="24"/>
          <w:szCs w:val="24"/>
        </w:rPr>
        <w:t>Answer: Please reference RFP.</w:t>
      </w:r>
    </w:p>
    <w:p w14:paraId="2218F619" w14:textId="38CFAF58"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41. </w:t>
      </w:r>
      <w:r w:rsidR="009004DE">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Is the expectation for CobbleStone to provide all implementation and configuration during the initial setup phase but also across the entire term of the contract Post Go-Live? CobbleStone does offer a train the trainer approach as well before Go-live.</w:t>
      </w:r>
      <w:r w:rsidR="009004DE">
        <w:rPr>
          <w:rFonts w:asciiTheme="majorHAnsi" w:hAnsiTheme="majorHAnsi" w:cstheme="majorHAnsi"/>
          <w:b/>
          <w:color w:val="000000"/>
          <w:sz w:val="24"/>
          <w:szCs w:val="24"/>
        </w:rPr>
        <w:t xml:space="preserve"> </w:t>
      </w:r>
      <w:r w:rsidRPr="009004DE">
        <w:rPr>
          <w:rFonts w:asciiTheme="majorHAnsi" w:hAnsiTheme="majorHAnsi" w:cstheme="majorHAnsi"/>
          <w:i/>
          <w:iCs/>
          <w:color w:val="1A1A1A"/>
          <w:sz w:val="24"/>
          <w:szCs w:val="24"/>
        </w:rPr>
        <w:t>Answer: Please reference RFP.</w:t>
      </w:r>
    </w:p>
    <w:p w14:paraId="22CDDB1E" w14:textId="36812B42"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42. </w:t>
      </w:r>
      <w:r w:rsidR="009004DE">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Public Sector Bids: your organization eligible to purchase off the GSA Schedule 70? If yes, would you like GSA pricing in the bid response or retail pricing?</w:t>
      </w:r>
      <w:r w:rsidR="009004DE">
        <w:rPr>
          <w:rFonts w:asciiTheme="majorHAnsi" w:hAnsiTheme="majorHAnsi" w:cstheme="majorHAnsi"/>
          <w:b/>
          <w:color w:val="000000"/>
          <w:sz w:val="24"/>
          <w:szCs w:val="24"/>
        </w:rPr>
        <w:t xml:space="preserve"> </w:t>
      </w:r>
      <w:r w:rsidRPr="009004DE">
        <w:rPr>
          <w:rFonts w:asciiTheme="majorHAnsi" w:hAnsiTheme="majorHAnsi" w:cstheme="majorHAnsi"/>
          <w:i/>
          <w:iCs/>
          <w:color w:val="1A1A1A"/>
          <w:sz w:val="24"/>
          <w:szCs w:val="24"/>
        </w:rPr>
        <w:t>Answer: Please reference question number 3.</w:t>
      </w:r>
      <w:r w:rsidR="009004DE" w:rsidRPr="009004DE">
        <w:rPr>
          <w:rFonts w:asciiTheme="majorHAnsi" w:hAnsiTheme="majorHAnsi" w:cstheme="majorHAnsi"/>
          <w:i/>
          <w:iCs/>
          <w:color w:val="1A1A1A"/>
          <w:sz w:val="24"/>
          <w:szCs w:val="24"/>
        </w:rPr>
        <w:tab/>
      </w:r>
    </w:p>
    <w:p w14:paraId="333E38B8" w14:textId="1E5EDF93"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43. </w:t>
      </w:r>
      <w:r w:rsidR="00C6578C">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 xml:space="preserve">If in the event our response is subject to an Open Records Request, will we be notified and given the opportunity to provide a redacted response in accordance with applicable </w:t>
      </w:r>
      <w:r w:rsidRPr="00410576">
        <w:rPr>
          <w:rFonts w:asciiTheme="majorHAnsi" w:hAnsiTheme="majorHAnsi" w:cstheme="majorHAnsi"/>
          <w:b/>
          <w:color w:val="000000"/>
          <w:sz w:val="24"/>
          <w:szCs w:val="24"/>
        </w:rPr>
        <w:lastRenderedPageBreak/>
        <w:t>Freedom of Information laws?</w:t>
      </w:r>
      <w:r w:rsidR="009004DE">
        <w:rPr>
          <w:rFonts w:asciiTheme="majorHAnsi" w:hAnsiTheme="majorHAnsi" w:cstheme="majorHAnsi"/>
          <w:b/>
          <w:color w:val="000000"/>
          <w:sz w:val="24"/>
          <w:szCs w:val="24"/>
        </w:rPr>
        <w:t xml:space="preserve"> </w:t>
      </w:r>
      <w:r w:rsidRPr="009004DE">
        <w:rPr>
          <w:rFonts w:asciiTheme="majorHAnsi" w:hAnsiTheme="majorHAnsi" w:cstheme="majorHAnsi"/>
          <w:i/>
          <w:iCs/>
          <w:color w:val="1A1A1A"/>
          <w:sz w:val="24"/>
          <w:szCs w:val="24"/>
        </w:rPr>
        <w:t>Answer: Please reference RFP.</w:t>
      </w:r>
      <w:r w:rsidR="00C6578C">
        <w:rPr>
          <w:rFonts w:asciiTheme="majorHAnsi" w:hAnsiTheme="majorHAnsi" w:cstheme="majorHAnsi"/>
          <w:i/>
          <w:iCs/>
          <w:color w:val="1A1A1A"/>
          <w:sz w:val="24"/>
          <w:szCs w:val="24"/>
        </w:rPr>
        <w:t xml:space="preserve"> All procurement activity is completed within the scope of applicated regulated guidelines.</w:t>
      </w:r>
    </w:p>
    <w:p w14:paraId="68672967" w14:textId="3B01C7C3"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44. </w:t>
      </w:r>
      <w:r w:rsidR="00C6578C">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Are subcontractors or third-party products permitted as part of a proposal?</w:t>
      </w:r>
      <w:r w:rsidR="00C6578C">
        <w:rPr>
          <w:rFonts w:asciiTheme="majorHAnsi" w:hAnsiTheme="majorHAnsi" w:cstheme="majorHAnsi"/>
          <w:b/>
          <w:color w:val="000000"/>
          <w:sz w:val="24"/>
          <w:szCs w:val="24"/>
        </w:rPr>
        <w:t xml:space="preserve"> </w:t>
      </w:r>
      <w:r w:rsidRPr="00C6578C">
        <w:rPr>
          <w:rFonts w:asciiTheme="majorHAnsi" w:hAnsiTheme="majorHAnsi" w:cstheme="majorHAnsi"/>
          <w:i/>
          <w:iCs/>
          <w:color w:val="1A1A1A"/>
          <w:sz w:val="24"/>
          <w:szCs w:val="24"/>
        </w:rPr>
        <w:t>Answer: Please reference RFP.</w:t>
      </w:r>
    </w:p>
    <w:p w14:paraId="6642A8EA" w14:textId="2D834E19" w:rsidR="00E01DAD" w:rsidRPr="00C6578C"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45. </w:t>
      </w:r>
      <w:r w:rsidR="00C6578C">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Must subcontractors be identified in the proposal, or file a separate Intent to Bid?</w:t>
      </w:r>
      <w:r w:rsidR="00C6578C">
        <w:rPr>
          <w:rFonts w:asciiTheme="majorHAnsi" w:hAnsiTheme="majorHAnsi" w:cstheme="majorHAnsi"/>
          <w:b/>
          <w:color w:val="000000"/>
          <w:sz w:val="24"/>
          <w:szCs w:val="24"/>
        </w:rPr>
        <w:t xml:space="preserve"> </w:t>
      </w:r>
      <w:r w:rsidRPr="00C6578C">
        <w:rPr>
          <w:rFonts w:asciiTheme="majorHAnsi" w:hAnsiTheme="majorHAnsi" w:cstheme="majorHAnsi"/>
          <w:i/>
          <w:iCs/>
          <w:color w:val="1A1A1A"/>
          <w:sz w:val="24"/>
          <w:szCs w:val="24"/>
        </w:rPr>
        <w:t>Answer: Please reference RFP</w:t>
      </w:r>
      <w:r w:rsidR="00C6578C" w:rsidRPr="00C6578C">
        <w:rPr>
          <w:rFonts w:asciiTheme="majorHAnsi" w:hAnsiTheme="majorHAnsi" w:cstheme="majorHAnsi"/>
          <w:i/>
          <w:iCs/>
          <w:color w:val="1A1A1A"/>
          <w:sz w:val="24"/>
          <w:szCs w:val="24"/>
        </w:rPr>
        <w:t>.</w:t>
      </w:r>
    </w:p>
    <w:p w14:paraId="73E55B84" w14:textId="4A9BCC36"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46. </w:t>
      </w:r>
      <w:r w:rsidR="00C6578C">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Are there additional requirements for subcontractors, such as SAM registration or a CAGE code?</w:t>
      </w:r>
      <w:r w:rsidR="00C6578C">
        <w:rPr>
          <w:rFonts w:asciiTheme="majorHAnsi" w:hAnsiTheme="majorHAnsi" w:cstheme="majorHAnsi"/>
          <w:b/>
          <w:color w:val="000000"/>
          <w:sz w:val="24"/>
          <w:szCs w:val="24"/>
        </w:rPr>
        <w:t xml:space="preserve"> </w:t>
      </w:r>
      <w:r w:rsidRPr="00C6578C">
        <w:rPr>
          <w:rFonts w:asciiTheme="majorHAnsi" w:hAnsiTheme="majorHAnsi" w:cstheme="majorHAnsi"/>
          <w:i/>
          <w:iCs/>
          <w:color w:val="1A1A1A"/>
          <w:sz w:val="24"/>
          <w:szCs w:val="24"/>
        </w:rPr>
        <w:t>Answer: Please reference RFP</w:t>
      </w:r>
      <w:r w:rsidRPr="00410576">
        <w:rPr>
          <w:rFonts w:asciiTheme="majorHAnsi" w:hAnsiTheme="majorHAnsi" w:cstheme="majorHAnsi"/>
          <w:color w:val="1A1A1A"/>
          <w:sz w:val="24"/>
          <w:szCs w:val="24"/>
        </w:rPr>
        <w:t>.</w:t>
      </w:r>
    </w:p>
    <w:p w14:paraId="07B61BE9" w14:textId="08EA0C9D"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47.</w:t>
      </w:r>
      <w:r w:rsidR="00C6578C">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 xml:space="preserve"> Could CMAP Elaborate on what is intended by “No Staff Hours” in the Price Proposal tab in the Excel Sheet?</w:t>
      </w:r>
      <w:r w:rsidR="00C6578C">
        <w:rPr>
          <w:rFonts w:asciiTheme="majorHAnsi" w:hAnsiTheme="majorHAnsi" w:cstheme="majorHAnsi"/>
          <w:b/>
          <w:color w:val="000000"/>
          <w:sz w:val="24"/>
          <w:szCs w:val="24"/>
        </w:rPr>
        <w:t xml:space="preserve"> </w:t>
      </w:r>
      <w:r w:rsidRPr="00C6578C">
        <w:rPr>
          <w:rFonts w:asciiTheme="majorHAnsi" w:hAnsiTheme="majorHAnsi" w:cstheme="majorHAnsi"/>
          <w:i/>
          <w:iCs/>
          <w:color w:val="1A1A1A"/>
          <w:sz w:val="24"/>
          <w:szCs w:val="24"/>
        </w:rPr>
        <w:t>Answer: Please reference</w:t>
      </w:r>
      <w:r w:rsidR="00C6578C" w:rsidRPr="00C6578C">
        <w:rPr>
          <w:rFonts w:asciiTheme="majorHAnsi" w:hAnsiTheme="majorHAnsi" w:cstheme="majorHAnsi"/>
          <w:i/>
          <w:iCs/>
          <w:color w:val="1A1A1A"/>
          <w:sz w:val="24"/>
          <w:szCs w:val="24"/>
        </w:rPr>
        <w:t xml:space="preserve"> Proposal</w:t>
      </w:r>
      <w:r w:rsidRPr="00C6578C">
        <w:rPr>
          <w:rFonts w:asciiTheme="majorHAnsi" w:hAnsiTheme="majorHAnsi" w:cstheme="majorHAnsi"/>
          <w:i/>
          <w:iCs/>
          <w:color w:val="1A1A1A"/>
          <w:sz w:val="24"/>
          <w:szCs w:val="24"/>
        </w:rPr>
        <w:t xml:space="preserve"> Attachment. The Price Proposal Worksheet directs pricing without staff hours.</w:t>
      </w:r>
    </w:p>
    <w:p w14:paraId="2F354D09" w14:textId="10C17885"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48. </w:t>
      </w:r>
      <w:r w:rsidR="00C6578C">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Currently, the different bundles of users (100, 150, 200) are all being totaled up in the Itemized Service Costs Tab in the Excel Sheet. Is this supposed to be the case? And if so, could you expand upon CMAP’s intention here.</w:t>
      </w:r>
      <w:r w:rsidR="00C6578C">
        <w:rPr>
          <w:rFonts w:asciiTheme="majorHAnsi" w:hAnsiTheme="majorHAnsi" w:cstheme="majorHAnsi"/>
          <w:b/>
          <w:color w:val="000000"/>
          <w:sz w:val="24"/>
          <w:szCs w:val="24"/>
        </w:rPr>
        <w:t xml:space="preserve"> </w:t>
      </w:r>
      <w:r w:rsidRPr="00C6578C">
        <w:rPr>
          <w:rFonts w:asciiTheme="majorHAnsi" w:hAnsiTheme="majorHAnsi" w:cstheme="majorHAnsi"/>
          <w:i/>
          <w:iCs/>
          <w:color w:val="1A1A1A"/>
          <w:sz w:val="24"/>
          <w:szCs w:val="24"/>
        </w:rPr>
        <w:t>Answer: Please reference Attachment. The Price Proposal Worksheet directs how each user tier is to be priced.</w:t>
      </w:r>
    </w:p>
    <w:p w14:paraId="63A9F774" w14:textId="33F596ED"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49. </w:t>
      </w:r>
      <w:r w:rsidR="00C6578C">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Can the clients we utilize as references also be used for the Client Examples tab?</w:t>
      </w:r>
      <w:r w:rsidR="00C6578C">
        <w:rPr>
          <w:rFonts w:asciiTheme="majorHAnsi" w:hAnsiTheme="majorHAnsi" w:cstheme="majorHAnsi"/>
          <w:b/>
          <w:color w:val="000000"/>
          <w:sz w:val="24"/>
          <w:szCs w:val="24"/>
        </w:rPr>
        <w:t xml:space="preserve"> </w:t>
      </w:r>
      <w:r w:rsidRPr="00C6578C">
        <w:rPr>
          <w:rFonts w:asciiTheme="majorHAnsi" w:hAnsiTheme="majorHAnsi" w:cstheme="majorHAnsi"/>
          <w:i/>
          <w:iCs/>
          <w:color w:val="1A1A1A"/>
          <w:sz w:val="24"/>
          <w:szCs w:val="24"/>
        </w:rPr>
        <w:t xml:space="preserve">Answer: Yes. </w:t>
      </w:r>
    </w:p>
    <w:p w14:paraId="77C640F4" w14:textId="74E201DD" w:rsidR="00E01DAD" w:rsidRPr="00C6578C"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50. </w:t>
      </w:r>
      <w:r w:rsidR="00C6578C">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2.1.2(d) and Attachment 5, items 10 to 13: Given CMAP's preference that requisitions, including catalog selections, be created and completed in Dynamics 365, please confirm that a proposal is fully responsive if requisitions, purchase orders, receiving, three-way match, invoice approval and punch-out/catalog remain in D365, and the eProcurement solution exchanges supplier, contract and PO records with D365. In that case, how should proposers code items 10 to 13?</w:t>
      </w:r>
      <w:r w:rsidR="00C6578C">
        <w:rPr>
          <w:rFonts w:asciiTheme="majorHAnsi" w:hAnsiTheme="majorHAnsi" w:cstheme="majorHAnsi"/>
          <w:b/>
          <w:color w:val="000000"/>
          <w:sz w:val="24"/>
          <w:szCs w:val="24"/>
        </w:rPr>
        <w:t xml:space="preserve"> </w:t>
      </w:r>
      <w:r w:rsidRPr="00C6578C">
        <w:rPr>
          <w:rFonts w:asciiTheme="majorHAnsi" w:hAnsiTheme="majorHAnsi" w:cstheme="majorHAnsi"/>
          <w:i/>
          <w:iCs/>
          <w:color w:val="1A1A1A"/>
          <w:sz w:val="24"/>
          <w:szCs w:val="24"/>
        </w:rPr>
        <w:t>Answer: Please reference question number 2.</w:t>
      </w:r>
    </w:p>
    <w:p w14:paraId="0011F93C" w14:textId="451F69B4"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51. </w:t>
      </w:r>
      <w:r w:rsidR="00C6578C">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2.1.3 lists three acceptable integration approaches: native connector, certified integration, or documented API approach. Please confirm all three are scored equally under the 20-point integration criterion, and that scoring will focus on which records are exchanged, sync frequency and data ownership.</w:t>
      </w:r>
      <w:r w:rsidR="00C6578C">
        <w:rPr>
          <w:rFonts w:asciiTheme="majorHAnsi" w:hAnsiTheme="majorHAnsi" w:cstheme="majorHAnsi"/>
          <w:b/>
          <w:color w:val="000000"/>
          <w:sz w:val="24"/>
          <w:szCs w:val="24"/>
        </w:rPr>
        <w:t xml:space="preserve"> </w:t>
      </w:r>
      <w:r w:rsidRPr="00C6578C">
        <w:rPr>
          <w:rFonts w:asciiTheme="majorHAnsi" w:hAnsiTheme="majorHAnsi" w:cstheme="majorHAnsi"/>
          <w:i/>
          <w:iCs/>
          <w:color w:val="1A1A1A"/>
          <w:sz w:val="24"/>
          <w:szCs w:val="24"/>
        </w:rPr>
        <w:t>Answer: Please reference RFP.</w:t>
      </w:r>
    </w:p>
    <w:p w14:paraId="464F64A9" w14:textId="03B7F9FB"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52. </w:t>
      </w:r>
      <w:r w:rsidR="00C6578C">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Sections 1.4 and 2.1.3: Which Dynamics 365 application is CMAP's financial system of record (for example, D365 Finance, Finance and Operations, or Business Central), and is it cloud-hosted?</w:t>
      </w:r>
      <w:r w:rsidR="00C6578C">
        <w:rPr>
          <w:rFonts w:asciiTheme="majorHAnsi" w:hAnsiTheme="majorHAnsi" w:cstheme="majorHAnsi"/>
          <w:b/>
          <w:color w:val="000000"/>
          <w:sz w:val="24"/>
          <w:szCs w:val="24"/>
        </w:rPr>
        <w:t xml:space="preserve"> </w:t>
      </w:r>
      <w:r w:rsidRPr="00C6578C">
        <w:rPr>
          <w:rFonts w:asciiTheme="majorHAnsi" w:hAnsiTheme="majorHAnsi" w:cstheme="majorHAnsi"/>
          <w:i/>
          <w:iCs/>
          <w:color w:val="1A1A1A"/>
          <w:sz w:val="24"/>
          <w:szCs w:val="24"/>
        </w:rPr>
        <w:t>Answer: Please reference RFP</w:t>
      </w:r>
      <w:r w:rsidR="00C6578C" w:rsidRPr="00C6578C">
        <w:rPr>
          <w:rFonts w:asciiTheme="majorHAnsi" w:hAnsiTheme="majorHAnsi" w:cstheme="majorHAnsi"/>
          <w:i/>
          <w:iCs/>
          <w:color w:val="1A1A1A"/>
          <w:sz w:val="24"/>
          <w:szCs w:val="24"/>
        </w:rPr>
        <w:t>.</w:t>
      </w:r>
    </w:p>
    <w:p w14:paraId="100809C2" w14:textId="6B68FF32" w:rsidR="00E01DAD" w:rsidRPr="00C6578C"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53. </w:t>
      </w:r>
      <w:r w:rsidR="00C6578C">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2.1.3: Does CMAP have existing integration middleware (for example, Azure Logic Apps, Power Automate, or Azure Data Factory) or a D365 partner who will support configuration on the D365 side? Which system will be the master for supplier records?</w:t>
      </w:r>
      <w:r w:rsidR="00C6578C">
        <w:rPr>
          <w:rFonts w:asciiTheme="majorHAnsi" w:hAnsiTheme="majorHAnsi" w:cstheme="majorHAnsi"/>
          <w:b/>
          <w:color w:val="000000"/>
          <w:sz w:val="24"/>
          <w:szCs w:val="24"/>
        </w:rPr>
        <w:t xml:space="preserve"> </w:t>
      </w:r>
      <w:r w:rsidRPr="00C6578C">
        <w:rPr>
          <w:rFonts w:asciiTheme="majorHAnsi" w:hAnsiTheme="majorHAnsi" w:cstheme="majorHAnsi"/>
          <w:i/>
          <w:iCs/>
          <w:color w:val="1A1A1A"/>
          <w:sz w:val="24"/>
          <w:szCs w:val="24"/>
        </w:rPr>
        <w:t>Answer: Please reference RFP</w:t>
      </w:r>
      <w:r w:rsidR="00C6578C">
        <w:rPr>
          <w:rFonts w:asciiTheme="majorHAnsi" w:hAnsiTheme="majorHAnsi" w:cstheme="majorHAnsi"/>
          <w:i/>
          <w:iCs/>
          <w:color w:val="1A1A1A"/>
          <w:sz w:val="24"/>
          <w:szCs w:val="24"/>
        </w:rPr>
        <w:t>.</w:t>
      </w:r>
    </w:p>
    <w:p w14:paraId="670915E6" w14:textId="4B1B2B0B"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54. </w:t>
      </w:r>
      <w:r w:rsidR="00C6578C">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2.1.3: Does CMAP require a specific Entra ID provisioning method, or will SSO with roles managed in the solution meet the requirement?</w:t>
      </w:r>
      <w:r w:rsidR="00C6578C">
        <w:rPr>
          <w:rFonts w:asciiTheme="majorHAnsi" w:hAnsiTheme="majorHAnsi" w:cstheme="majorHAnsi"/>
          <w:b/>
          <w:color w:val="000000"/>
          <w:sz w:val="24"/>
          <w:szCs w:val="24"/>
        </w:rPr>
        <w:t xml:space="preserve"> </w:t>
      </w:r>
      <w:r w:rsidRPr="00C6578C">
        <w:rPr>
          <w:rFonts w:asciiTheme="majorHAnsi" w:hAnsiTheme="majorHAnsi" w:cstheme="majorHAnsi"/>
          <w:i/>
          <w:iCs/>
          <w:color w:val="1A1A1A"/>
          <w:sz w:val="24"/>
          <w:szCs w:val="24"/>
        </w:rPr>
        <w:t>Answer: Please reference RFP</w:t>
      </w:r>
      <w:r w:rsidR="00C6578C" w:rsidRPr="00C6578C">
        <w:rPr>
          <w:rFonts w:asciiTheme="majorHAnsi" w:hAnsiTheme="majorHAnsi" w:cstheme="majorHAnsi"/>
          <w:i/>
          <w:iCs/>
          <w:color w:val="1A1A1A"/>
          <w:sz w:val="24"/>
          <w:szCs w:val="24"/>
        </w:rPr>
        <w:t>.</w:t>
      </w:r>
    </w:p>
    <w:p w14:paraId="4A6476CA" w14:textId="20647B2F"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55. </w:t>
      </w:r>
      <w:r w:rsidR="00C6578C">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2.1.3: Is SharePoint intended as CMAP's records repository for executed contracts, with the eProcurement solution linking or exporting documents to it?</w:t>
      </w:r>
      <w:r w:rsidR="00C6578C">
        <w:rPr>
          <w:rFonts w:asciiTheme="majorHAnsi" w:hAnsiTheme="majorHAnsi" w:cstheme="majorHAnsi"/>
          <w:b/>
          <w:color w:val="000000"/>
          <w:sz w:val="24"/>
          <w:szCs w:val="24"/>
        </w:rPr>
        <w:t xml:space="preserve"> </w:t>
      </w:r>
      <w:r w:rsidRPr="00AF7D53">
        <w:rPr>
          <w:rFonts w:asciiTheme="majorHAnsi" w:hAnsiTheme="majorHAnsi" w:cstheme="majorHAnsi"/>
          <w:i/>
          <w:iCs/>
          <w:color w:val="1A1A1A"/>
          <w:sz w:val="24"/>
          <w:szCs w:val="24"/>
        </w:rPr>
        <w:t>Answer: Please reference RFP.</w:t>
      </w:r>
    </w:p>
    <w:p w14:paraId="7F04BD9E" w14:textId="174ACB6C" w:rsidR="00E01DAD" w:rsidRPr="00AF7D53"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lastRenderedPageBreak/>
        <w:t xml:space="preserve">56. </w:t>
      </w:r>
      <w:r w:rsidR="00AF7D53">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To size licensing and implementation, please provide approximate counts of internal users by role (administrators, procurement staff, requesters, approvers, evaluators, read-only); solicitations per year by type; active contracts; purchase orders per year; and active suppliers.</w:t>
      </w:r>
      <w:r w:rsidR="00AF7D53">
        <w:rPr>
          <w:rFonts w:asciiTheme="majorHAnsi" w:hAnsiTheme="majorHAnsi" w:cstheme="majorHAnsi"/>
          <w:sz w:val="24"/>
          <w:szCs w:val="24"/>
        </w:rPr>
        <w:t xml:space="preserve"> </w:t>
      </w:r>
      <w:r w:rsidRPr="00AF7D53">
        <w:rPr>
          <w:rFonts w:asciiTheme="majorHAnsi" w:hAnsiTheme="majorHAnsi" w:cstheme="majorHAnsi"/>
          <w:i/>
          <w:iCs/>
          <w:color w:val="1A1A1A"/>
          <w:sz w:val="24"/>
          <w:szCs w:val="24"/>
        </w:rPr>
        <w:t>Answer: Please reference question numbers 14 and 15.</w:t>
      </w:r>
    </w:p>
    <w:p w14:paraId="23C581F5" w14:textId="79529D2D"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57. </w:t>
      </w:r>
      <w:r w:rsidR="00AF7D53">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2.1.8: For the five-year total cost of ownership, should proposers price all of the internal users above, including occasional requesters, approvers and evaluation committee members, so that any per-user fees for those roles are visible in the comparison?</w:t>
      </w:r>
      <w:r w:rsidR="00AF7D53">
        <w:rPr>
          <w:rFonts w:asciiTheme="majorHAnsi" w:hAnsiTheme="majorHAnsi" w:cstheme="majorHAnsi"/>
          <w:b/>
          <w:color w:val="000000"/>
          <w:sz w:val="24"/>
          <w:szCs w:val="24"/>
        </w:rPr>
        <w:t xml:space="preserve"> </w:t>
      </w:r>
      <w:r w:rsidRPr="00410576">
        <w:rPr>
          <w:rFonts w:asciiTheme="majorHAnsi" w:hAnsiTheme="majorHAnsi" w:cstheme="majorHAnsi"/>
          <w:color w:val="1A1A1A"/>
          <w:sz w:val="24"/>
          <w:szCs w:val="24"/>
        </w:rPr>
        <w:t xml:space="preserve">Answer: </w:t>
      </w:r>
      <w:r w:rsidR="00AF7D53" w:rsidRPr="00C6578C">
        <w:rPr>
          <w:rFonts w:asciiTheme="majorHAnsi" w:hAnsiTheme="majorHAnsi" w:cstheme="majorHAnsi"/>
          <w:i/>
          <w:iCs/>
          <w:color w:val="1A1A1A"/>
          <w:sz w:val="24"/>
          <w:szCs w:val="24"/>
        </w:rPr>
        <w:t>Please reference RFP.</w:t>
      </w:r>
      <w:r w:rsidR="00AF7D53">
        <w:rPr>
          <w:rFonts w:asciiTheme="majorHAnsi" w:hAnsiTheme="majorHAnsi" w:cstheme="majorHAnsi"/>
          <w:i/>
          <w:iCs/>
          <w:color w:val="1A1A1A"/>
          <w:sz w:val="24"/>
          <w:szCs w:val="24"/>
        </w:rPr>
        <w:t xml:space="preserve"> </w:t>
      </w:r>
      <w:r w:rsidRPr="00410576">
        <w:rPr>
          <w:rFonts w:asciiTheme="majorHAnsi" w:hAnsiTheme="majorHAnsi" w:cstheme="majorHAnsi"/>
          <w:color w:val="1A1A1A"/>
          <w:sz w:val="24"/>
          <w:szCs w:val="24"/>
        </w:rPr>
        <w:t>The Price Proposal Worksheet addresses pricing by user.</w:t>
      </w:r>
    </w:p>
    <w:p w14:paraId="78E436EB" w14:textId="3C1CA64D"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58. </w:t>
      </w:r>
      <w:r w:rsidR="00AF7D53">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2.1.4: What historical data is in scope for migration (solicitations, contracts, suppliers), covering how many years and approximately how many records, and in what systems or file formats is it held today?</w:t>
      </w:r>
      <w:r w:rsidR="00AF7D53">
        <w:rPr>
          <w:rFonts w:asciiTheme="majorHAnsi" w:hAnsiTheme="majorHAnsi" w:cstheme="majorHAnsi"/>
          <w:b/>
          <w:color w:val="000000"/>
          <w:sz w:val="24"/>
          <w:szCs w:val="24"/>
        </w:rPr>
        <w:t xml:space="preserve"> </w:t>
      </w:r>
      <w:r w:rsidRPr="00AF7D53">
        <w:rPr>
          <w:rFonts w:asciiTheme="majorHAnsi" w:hAnsiTheme="majorHAnsi" w:cstheme="majorHAnsi"/>
          <w:i/>
          <w:iCs/>
          <w:color w:val="1A1A1A"/>
          <w:sz w:val="24"/>
          <w:szCs w:val="24"/>
        </w:rPr>
        <w:t xml:space="preserve">Answer: Please reference </w:t>
      </w:r>
      <w:r w:rsidR="00AF7D53">
        <w:rPr>
          <w:rFonts w:asciiTheme="majorHAnsi" w:hAnsiTheme="majorHAnsi" w:cstheme="majorHAnsi"/>
          <w:i/>
          <w:iCs/>
          <w:color w:val="1A1A1A"/>
          <w:sz w:val="24"/>
          <w:szCs w:val="24"/>
        </w:rPr>
        <w:t>RFP</w:t>
      </w:r>
      <w:r w:rsidRPr="00410576">
        <w:rPr>
          <w:rFonts w:asciiTheme="majorHAnsi" w:hAnsiTheme="majorHAnsi" w:cstheme="majorHAnsi"/>
          <w:color w:val="1A1A1A"/>
          <w:sz w:val="24"/>
          <w:szCs w:val="24"/>
        </w:rPr>
        <w:t>.</w:t>
      </w:r>
    </w:p>
    <w:p w14:paraId="54F4391D" w14:textId="60826EB0"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59. </w:t>
      </w:r>
      <w:r w:rsidR="00AF7D53">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2.1.4 and Section 4.2: Will the implementation criterion give credit for plans that put solicitations and the supplier portal into production early, for example within 60 to 90 days of notice to proceed, with remaining phases following within the six-month window?</w:t>
      </w:r>
      <w:r w:rsidR="00AF7D53">
        <w:rPr>
          <w:rFonts w:asciiTheme="majorHAnsi" w:hAnsiTheme="majorHAnsi" w:cstheme="majorHAnsi"/>
          <w:b/>
          <w:color w:val="000000"/>
          <w:sz w:val="24"/>
          <w:szCs w:val="24"/>
        </w:rPr>
        <w:t xml:space="preserve"> </w:t>
      </w:r>
      <w:r w:rsidRPr="00AF7D53">
        <w:rPr>
          <w:rFonts w:asciiTheme="majorHAnsi" w:hAnsiTheme="majorHAnsi" w:cstheme="majorHAnsi"/>
          <w:i/>
          <w:iCs/>
          <w:color w:val="1A1A1A"/>
          <w:sz w:val="24"/>
          <w:szCs w:val="24"/>
        </w:rPr>
        <w:t>Answer: Please reference RFP; please also reference question number 5.</w:t>
      </w:r>
    </w:p>
    <w:p w14:paraId="08652AFD" w14:textId="1360FAB0"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60. </w:t>
      </w:r>
      <w:r w:rsidR="00AF7D53">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2.1.2(a) and (b): Should suppliers be able to register, receive notices, download solicitation documents and submit responses at no cost? Should proposers disclose any fees charged to suppliers?</w:t>
      </w:r>
      <w:r w:rsidR="00AF7D53">
        <w:rPr>
          <w:rFonts w:asciiTheme="majorHAnsi" w:hAnsiTheme="majorHAnsi" w:cstheme="majorHAnsi"/>
          <w:b/>
          <w:color w:val="000000"/>
          <w:sz w:val="24"/>
          <w:szCs w:val="24"/>
        </w:rPr>
        <w:t xml:space="preserve"> </w:t>
      </w:r>
      <w:r w:rsidRPr="00AF7D53">
        <w:rPr>
          <w:rFonts w:asciiTheme="majorHAnsi" w:hAnsiTheme="majorHAnsi" w:cstheme="majorHAnsi"/>
          <w:i/>
          <w:iCs/>
          <w:color w:val="1A1A1A"/>
          <w:sz w:val="24"/>
          <w:szCs w:val="24"/>
        </w:rPr>
        <w:t>Answer: Please reference RFP.</w:t>
      </w:r>
    </w:p>
    <w:p w14:paraId="1CB590B8" w14:textId="1105143C"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61. </w:t>
      </w:r>
      <w:r w:rsidR="00AF7D53">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2.1.2(b): Should the solution automatically notify registered suppliers of new solicitations that match their commodity codes? Will CMAP consider the reach of a proposer's existing registered supplier network in the region, including certified DBE firms, available to CMAP solicitations at go-live?</w:t>
      </w:r>
      <w:r w:rsidR="00AF7D53">
        <w:rPr>
          <w:rFonts w:asciiTheme="majorHAnsi" w:hAnsiTheme="majorHAnsi" w:cstheme="majorHAnsi"/>
          <w:b/>
          <w:color w:val="000000"/>
          <w:sz w:val="24"/>
          <w:szCs w:val="24"/>
        </w:rPr>
        <w:t xml:space="preserve"> </w:t>
      </w:r>
      <w:r w:rsidRPr="00AF7D53">
        <w:rPr>
          <w:rFonts w:asciiTheme="majorHAnsi" w:hAnsiTheme="majorHAnsi" w:cstheme="majorHAnsi"/>
          <w:i/>
          <w:iCs/>
          <w:color w:val="1A1A1A"/>
          <w:sz w:val="24"/>
          <w:szCs w:val="24"/>
        </w:rPr>
        <w:t>Answer: Please reference RFP.</w:t>
      </w:r>
    </w:p>
    <w:p w14:paraId="79333700" w14:textId="3FF0C661" w:rsidR="00E01DAD" w:rsidRPr="00AF7D53"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62. </w:t>
      </w:r>
      <w:r w:rsidR="00AF7D53">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2.1.2(b) and Attachment 2B, Certification Three: Should the solution track supplier DBE and other certifications, with expiration dates, and report participation by certification type on awarded contracts to support CMAP's federal reporting?</w:t>
      </w:r>
      <w:r w:rsidR="00AF7D53">
        <w:rPr>
          <w:rFonts w:asciiTheme="majorHAnsi" w:hAnsiTheme="majorHAnsi" w:cstheme="majorHAnsi"/>
          <w:b/>
          <w:color w:val="000000"/>
          <w:sz w:val="24"/>
          <w:szCs w:val="24"/>
        </w:rPr>
        <w:t xml:space="preserve"> </w:t>
      </w:r>
      <w:r w:rsidRPr="00AF7D53">
        <w:rPr>
          <w:rFonts w:asciiTheme="majorHAnsi" w:hAnsiTheme="majorHAnsi" w:cstheme="majorHAnsi"/>
          <w:i/>
          <w:iCs/>
          <w:color w:val="1A1A1A"/>
          <w:sz w:val="24"/>
          <w:szCs w:val="24"/>
        </w:rPr>
        <w:t>Answer: Please reference RF</w:t>
      </w:r>
      <w:r w:rsidR="00AF7D53">
        <w:rPr>
          <w:rFonts w:asciiTheme="majorHAnsi" w:hAnsiTheme="majorHAnsi" w:cstheme="majorHAnsi"/>
          <w:i/>
          <w:iCs/>
          <w:color w:val="1A1A1A"/>
          <w:sz w:val="24"/>
          <w:szCs w:val="24"/>
        </w:rPr>
        <w:t>P.</w:t>
      </w:r>
    </w:p>
    <w:p w14:paraId="5E540F00" w14:textId="11673EF1"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63. </w:t>
      </w:r>
      <w:r w:rsidR="00AF7D53">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2.1.2(a): For sealed-bid support, should electronic responses be time-stamped and inaccessible to CMAP staff until the deadline, with suppliers required to acknowledge every addendum before they can submit?</w:t>
      </w:r>
      <w:r w:rsidR="00AF7D53">
        <w:rPr>
          <w:rFonts w:asciiTheme="majorHAnsi" w:hAnsiTheme="majorHAnsi" w:cstheme="majorHAnsi"/>
          <w:b/>
          <w:color w:val="000000"/>
          <w:sz w:val="24"/>
          <w:szCs w:val="24"/>
        </w:rPr>
        <w:t xml:space="preserve"> </w:t>
      </w:r>
      <w:r w:rsidRPr="00AF7D53">
        <w:rPr>
          <w:rFonts w:asciiTheme="majorHAnsi" w:hAnsiTheme="majorHAnsi" w:cstheme="majorHAnsi"/>
          <w:i/>
          <w:iCs/>
          <w:color w:val="1A1A1A"/>
          <w:sz w:val="24"/>
          <w:szCs w:val="24"/>
        </w:rPr>
        <w:t>Answer: Please reference RFP.</w:t>
      </w:r>
    </w:p>
    <w:p w14:paraId="26EA083D" w14:textId="24446F0C" w:rsidR="00E01DAD" w:rsidRPr="00AF7D53"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64. </w:t>
      </w:r>
      <w:r w:rsidR="00AF7D53">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2.1.2(b): Should supplier insurance be tracked against the minimum coverage required for each contract, with automated deficiency and expiration notices sent to suppliers</w:t>
      </w:r>
      <w:r w:rsidR="00AF7D53">
        <w:rPr>
          <w:rFonts w:asciiTheme="majorHAnsi" w:hAnsiTheme="majorHAnsi" w:cstheme="majorHAnsi"/>
          <w:b/>
          <w:color w:val="000000"/>
          <w:sz w:val="24"/>
          <w:szCs w:val="24"/>
        </w:rPr>
        <w:t xml:space="preserve">? </w:t>
      </w:r>
      <w:r w:rsidRPr="00AF7D53">
        <w:rPr>
          <w:rFonts w:asciiTheme="majorHAnsi" w:hAnsiTheme="majorHAnsi" w:cstheme="majorHAnsi"/>
          <w:i/>
          <w:iCs/>
          <w:color w:val="1A1A1A"/>
          <w:sz w:val="24"/>
          <w:szCs w:val="24"/>
        </w:rPr>
        <w:t>Answer: Please reference RFP.</w:t>
      </w:r>
    </w:p>
    <w:p w14:paraId="7DD1BFF1" w14:textId="1697B339"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65. </w:t>
      </w:r>
      <w:r w:rsidR="00AF7D53">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2.1.2(a) and (c): Should award information (supplier, pricing and documents) carry from the solicitation into the contract record without re-entry?</w:t>
      </w:r>
      <w:r w:rsidR="00AF7D53">
        <w:rPr>
          <w:rFonts w:asciiTheme="majorHAnsi" w:hAnsiTheme="majorHAnsi" w:cstheme="majorHAnsi"/>
          <w:b/>
          <w:color w:val="000000"/>
          <w:sz w:val="24"/>
          <w:szCs w:val="24"/>
        </w:rPr>
        <w:t xml:space="preserve"> </w:t>
      </w:r>
      <w:r w:rsidRPr="00AF7D53">
        <w:rPr>
          <w:rFonts w:asciiTheme="majorHAnsi" w:hAnsiTheme="majorHAnsi" w:cstheme="majorHAnsi"/>
          <w:i/>
          <w:iCs/>
          <w:color w:val="1A1A1A"/>
          <w:sz w:val="24"/>
          <w:szCs w:val="24"/>
        </w:rPr>
        <w:t>Answer: Please reference RFP.</w:t>
      </w:r>
    </w:p>
    <w:p w14:paraId="6D2EE4C5" w14:textId="6FDD62C2"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66. </w:t>
      </w:r>
      <w:r w:rsidR="00AF7D53">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2.1.2(a) and (e): Should the public portal also publish award results, such as awarded supplier, amount and number of responses, so the public can see them without a records request?</w:t>
      </w:r>
      <w:r w:rsidR="00AF7D53">
        <w:rPr>
          <w:rFonts w:asciiTheme="majorHAnsi" w:hAnsiTheme="majorHAnsi" w:cstheme="majorHAnsi"/>
          <w:b/>
          <w:color w:val="000000"/>
          <w:sz w:val="24"/>
          <w:szCs w:val="24"/>
        </w:rPr>
        <w:t xml:space="preserve"> </w:t>
      </w:r>
      <w:r w:rsidRPr="00AF7D53">
        <w:rPr>
          <w:rFonts w:asciiTheme="majorHAnsi" w:hAnsiTheme="majorHAnsi" w:cstheme="majorHAnsi"/>
          <w:i/>
          <w:iCs/>
          <w:color w:val="1A1A1A"/>
          <w:sz w:val="24"/>
          <w:szCs w:val="24"/>
        </w:rPr>
        <w:t>Answer: Please reference RFP.</w:t>
      </w:r>
    </w:p>
    <w:p w14:paraId="39A8988B" w14:textId="4A22BB91"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67. </w:t>
      </w:r>
      <w:r w:rsidR="00AF7D53">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3.5: Must the SAM CAGE Code be active at the proposal deadline, or is it sufficient to provide the UEI with the proposal and have an active CAGE Code before contract execution?</w:t>
      </w:r>
      <w:r w:rsidR="00AF7D53">
        <w:rPr>
          <w:rFonts w:asciiTheme="majorHAnsi" w:hAnsiTheme="majorHAnsi" w:cstheme="majorHAnsi"/>
          <w:sz w:val="24"/>
          <w:szCs w:val="24"/>
        </w:rPr>
        <w:t xml:space="preserve"> </w:t>
      </w:r>
      <w:r w:rsidRPr="00AF7D53">
        <w:rPr>
          <w:rFonts w:asciiTheme="majorHAnsi" w:hAnsiTheme="majorHAnsi" w:cstheme="majorHAnsi"/>
          <w:i/>
          <w:iCs/>
          <w:color w:val="1A1A1A"/>
          <w:sz w:val="24"/>
          <w:szCs w:val="24"/>
        </w:rPr>
        <w:t>Answer: Please reference RFP.</w:t>
      </w:r>
    </w:p>
    <w:p w14:paraId="1B3A28FF" w14:textId="1C744C61"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lastRenderedPageBreak/>
        <w:t xml:space="preserve">68. </w:t>
      </w:r>
      <w:r w:rsidR="00AF7D53">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3.1: Is there a maximum email attachment size? If a response exceeds it, may it be sent in multiple emails using the same subject line?</w:t>
      </w:r>
      <w:r w:rsidR="00AF7D53">
        <w:rPr>
          <w:rFonts w:asciiTheme="majorHAnsi" w:hAnsiTheme="majorHAnsi" w:cstheme="majorHAnsi"/>
          <w:b/>
          <w:color w:val="000000"/>
          <w:sz w:val="24"/>
          <w:szCs w:val="24"/>
        </w:rPr>
        <w:t xml:space="preserve"> </w:t>
      </w:r>
      <w:r w:rsidRPr="00AF7D53">
        <w:rPr>
          <w:rFonts w:asciiTheme="majorHAnsi" w:hAnsiTheme="majorHAnsi" w:cstheme="majorHAnsi"/>
          <w:i/>
          <w:iCs/>
          <w:color w:val="1A1A1A"/>
          <w:sz w:val="24"/>
          <w:szCs w:val="24"/>
        </w:rPr>
        <w:t>Answer: Please reference RFP</w:t>
      </w:r>
      <w:r w:rsidR="00AF7D53">
        <w:rPr>
          <w:rFonts w:asciiTheme="majorHAnsi" w:hAnsiTheme="majorHAnsi" w:cstheme="majorHAnsi"/>
          <w:i/>
          <w:iCs/>
          <w:color w:val="1A1A1A"/>
          <w:sz w:val="24"/>
          <w:szCs w:val="24"/>
        </w:rPr>
        <w:t>.</w:t>
      </w:r>
    </w:p>
    <w:p w14:paraId="33B431C0" w14:textId="78CBC1E0"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69. </w:t>
      </w:r>
      <w:r w:rsidR="00AF7D53">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Attachment 5: May proposers submit the Solution Clarification Questionnaire in Excel in addition to PDF?</w:t>
      </w:r>
      <w:r w:rsidR="00AF7D53">
        <w:rPr>
          <w:rFonts w:asciiTheme="majorHAnsi" w:hAnsiTheme="majorHAnsi" w:cstheme="majorHAnsi"/>
          <w:b/>
          <w:color w:val="000000"/>
          <w:sz w:val="24"/>
          <w:szCs w:val="24"/>
        </w:rPr>
        <w:t xml:space="preserve"> </w:t>
      </w:r>
      <w:r w:rsidRPr="00410576">
        <w:rPr>
          <w:rFonts w:asciiTheme="majorHAnsi" w:hAnsiTheme="majorHAnsi" w:cstheme="majorHAnsi"/>
          <w:color w:val="1A1A1A"/>
          <w:sz w:val="24"/>
          <w:szCs w:val="24"/>
        </w:rPr>
        <w:t xml:space="preserve">Answer: Please reference </w:t>
      </w:r>
      <w:r w:rsidR="00DB644B">
        <w:rPr>
          <w:rFonts w:asciiTheme="majorHAnsi" w:hAnsiTheme="majorHAnsi" w:cstheme="majorHAnsi"/>
          <w:color w:val="1A1A1A"/>
          <w:sz w:val="24"/>
          <w:szCs w:val="24"/>
        </w:rPr>
        <w:t>RFP</w:t>
      </w:r>
      <w:r w:rsidRPr="00410576">
        <w:rPr>
          <w:rFonts w:asciiTheme="majorHAnsi" w:hAnsiTheme="majorHAnsi" w:cstheme="majorHAnsi"/>
          <w:color w:val="1A1A1A"/>
          <w:sz w:val="24"/>
          <w:szCs w:val="24"/>
        </w:rPr>
        <w:t>.</w:t>
      </w:r>
    </w:p>
    <w:p w14:paraId="56361205" w14:textId="5AD9EDC1"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70. </w:t>
      </w:r>
      <w:r w:rsidR="00AF7D53">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Attachment 3: The Reference Questionnaire says to return it "by the due date listed above," but no date appears. Should completed questionnaires be included in the proposal, or returned to CMAP directly by the references? If directly, by what date?</w:t>
      </w:r>
      <w:r w:rsidR="00DB644B">
        <w:rPr>
          <w:rFonts w:asciiTheme="majorHAnsi" w:hAnsiTheme="majorHAnsi" w:cstheme="majorHAnsi"/>
          <w:b/>
          <w:color w:val="000000"/>
          <w:sz w:val="24"/>
          <w:szCs w:val="24"/>
        </w:rPr>
        <w:t xml:space="preserve"> </w:t>
      </w:r>
      <w:r w:rsidRPr="00410576">
        <w:rPr>
          <w:rFonts w:asciiTheme="majorHAnsi" w:hAnsiTheme="majorHAnsi" w:cstheme="majorHAnsi"/>
          <w:color w:val="1A1A1A"/>
          <w:sz w:val="24"/>
          <w:szCs w:val="24"/>
        </w:rPr>
        <w:t>Answer: Please reference question number</w:t>
      </w:r>
      <w:r w:rsidR="00DB644B">
        <w:rPr>
          <w:rFonts w:asciiTheme="majorHAnsi" w:hAnsiTheme="majorHAnsi" w:cstheme="majorHAnsi"/>
          <w:color w:val="1A1A1A"/>
          <w:sz w:val="24"/>
          <w:szCs w:val="24"/>
        </w:rPr>
        <w:t>s23 and</w:t>
      </w:r>
      <w:r w:rsidRPr="00410576">
        <w:rPr>
          <w:rFonts w:asciiTheme="majorHAnsi" w:hAnsiTheme="majorHAnsi" w:cstheme="majorHAnsi"/>
          <w:color w:val="1A1A1A"/>
          <w:sz w:val="24"/>
          <w:szCs w:val="24"/>
        </w:rPr>
        <w:t xml:space="preserve"> 24.</w:t>
      </w:r>
    </w:p>
    <w:p w14:paraId="7CE6DD12" w14:textId="25BDDACF"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71. </w:t>
      </w:r>
      <w:r w:rsidR="00DB644B">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Attachment 2A, paragraph 6, and Attachment 2B, Certifications Three and Five: Is this contract funded in whole or in part with federal funds? If so, from which program, and does a DBE participation goal apply? If a goal applies, what is it?</w:t>
      </w:r>
      <w:r w:rsidR="00DB644B">
        <w:rPr>
          <w:rFonts w:asciiTheme="majorHAnsi" w:hAnsiTheme="majorHAnsi" w:cstheme="majorHAnsi"/>
          <w:b/>
          <w:color w:val="000000"/>
          <w:sz w:val="24"/>
          <w:szCs w:val="24"/>
        </w:rPr>
        <w:t xml:space="preserve"> </w:t>
      </w:r>
      <w:r w:rsidRPr="00DB644B">
        <w:rPr>
          <w:rFonts w:asciiTheme="majorHAnsi" w:hAnsiTheme="majorHAnsi" w:cstheme="majorHAnsi"/>
          <w:i/>
          <w:iCs/>
          <w:color w:val="1A1A1A"/>
          <w:sz w:val="24"/>
          <w:szCs w:val="24"/>
        </w:rPr>
        <w:t>Answer: Please reference</w:t>
      </w:r>
      <w:r w:rsidR="00DB644B">
        <w:rPr>
          <w:rFonts w:asciiTheme="majorHAnsi" w:hAnsiTheme="majorHAnsi" w:cstheme="majorHAnsi"/>
          <w:i/>
          <w:iCs/>
          <w:color w:val="1A1A1A"/>
          <w:sz w:val="24"/>
          <w:szCs w:val="24"/>
        </w:rPr>
        <w:t xml:space="preserve"> RFP</w:t>
      </w:r>
      <w:r w:rsidRPr="00DB644B">
        <w:rPr>
          <w:rFonts w:asciiTheme="majorHAnsi" w:hAnsiTheme="majorHAnsi" w:cstheme="majorHAnsi"/>
          <w:i/>
          <w:iCs/>
          <w:color w:val="1A1A1A"/>
          <w:sz w:val="24"/>
          <w:szCs w:val="24"/>
        </w:rPr>
        <w:t>.</w:t>
      </w:r>
    </w:p>
    <w:p w14:paraId="2A5C3245" w14:textId="4E6C0905"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72. </w:t>
      </w:r>
      <w:r w:rsidR="00DB644B">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2.1.8 says subscriptions are invoiced annually in advance and implementation at accepted milestones. Attachment 2A, paragraph 6(a), requires invoices no later than 15 days after the end of each quarter. Which governs?</w:t>
      </w:r>
      <w:r w:rsidR="00DB644B">
        <w:rPr>
          <w:rFonts w:asciiTheme="majorHAnsi" w:hAnsiTheme="majorHAnsi" w:cstheme="majorHAnsi"/>
          <w:b/>
          <w:color w:val="000000"/>
          <w:sz w:val="24"/>
          <w:szCs w:val="24"/>
        </w:rPr>
        <w:t xml:space="preserve"> </w:t>
      </w:r>
      <w:r w:rsidRPr="00DB644B">
        <w:rPr>
          <w:rFonts w:asciiTheme="majorHAnsi" w:hAnsiTheme="majorHAnsi" w:cstheme="majorHAnsi"/>
          <w:i/>
          <w:iCs/>
          <w:color w:val="1A1A1A"/>
          <w:sz w:val="24"/>
          <w:szCs w:val="24"/>
        </w:rPr>
        <w:t>Answer: Please reference RFP</w:t>
      </w:r>
      <w:r w:rsidR="00DB644B">
        <w:rPr>
          <w:rFonts w:asciiTheme="majorHAnsi" w:hAnsiTheme="majorHAnsi" w:cstheme="majorHAnsi"/>
          <w:i/>
          <w:iCs/>
          <w:color w:val="1A1A1A"/>
          <w:sz w:val="24"/>
          <w:szCs w:val="24"/>
        </w:rPr>
        <w:t>.</w:t>
      </w:r>
    </w:p>
    <w:p w14:paraId="04B02BF7" w14:textId="59B3C284"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73. </w:t>
      </w:r>
      <w:r w:rsidR="00DB644B">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2.1.8 and Attachment 1: The initial three-year subscription begins at accepted go-live. Should proposers price subscription fees for the implementation period, and if so, where on Attachment 1?</w:t>
      </w:r>
      <w:r w:rsidR="00DB644B">
        <w:rPr>
          <w:rFonts w:asciiTheme="majorHAnsi" w:hAnsiTheme="majorHAnsi" w:cstheme="majorHAnsi"/>
          <w:b/>
          <w:color w:val="000000"/>
          <w:sz w:val="24"/>
          <w:szCs w:val="24"/>
        </w:rPr>
        <w:t xml:space="preserve"> </w:t>
      </w:r>
      <w:r w:rsidRPr="00DB644B">
        <w:rPr>
          <w:rFonts w:asciiTheme="majorHAnsi" w:hAnsiTheme="majorHAnsi" w:cstheme="majorHAnsi"/>
          <w:i/>
          <w:iCs/>
          <w:color w:val="1A1A1A"/>
          <w:sz w:val="24"/>
          <w:szCs w:val="24"/>
        </w:rPr>
        <w:t xml:space="preserve">Answer: Please reference </w:t>
      </w:r>
      <w:r w:rsidR="00DB644B" w:rsidRPr="00DB644B">
        <w:rPr>
          <w:rFonts w:asciiTheme="majorHAnsi" w:hAnsiTheme="majorHAnsi" w:cstheme="majorHAnsi"/>
          <w:i/>
          <w:iCs/>
          <w:color w:val="1A1A1A"/>
          <w:sz w:val="24"/>
          <w:szCs w:val="24"/>
        </w:rPr>
        <w:t>RFP</w:t>
      </w:r>
      <w:r w:rsidRPr="00DB644B">
        <w:rPr>
          <w:rFonts w:asciiTheme="majorHAnsi" w:hAnsiTheme="majorHAnsi" w:cstheme="majorHAnsi"/>
          <w:i/>
          <w:iCs/>
          <w:color w:val="1A1A1A"/>
          <w:sz w:val="24"/>
          <w:szCs w:val="24"/>
        </w:rPr>
        <w:t>.</w:t>
      </w:r>
    </w:p>
    <w:p w14:paraId="32338BD9" w14:textId="30C7DD00"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74. </w:t>
      </w:r>
      <w:r w:rsidR="00DB644B">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Attachment 2A, paragraph 22(c): Please confirm that this paragraph applies only to software developed specifically for CMAP under this contract, and does not transfer ownership of a proposer's pre-existing commercial SaaS platform, its standard configurations or its updates. CMAP would retain ownership of all CMAP data.</w:t>
      </w:r>
      <w:r w:rsidR="00DB644B">
        <w:rPr>
          <w:rFonts w:asciiTheme="majorHAnsi" w:hAnsiTheme="majorHAnsi" w:cstheme="majorHAnsi"/>
          <w:b/>
          <w:color w:val="000000"/>
          <w:sz w:val="24"/>
          <w:szCs w:val="24"/>
        </w:rPr>
        <w:t xml:space="preserve"> </w:t>
      </w:r>
      <w:r w:rsidRPr="00DB644B">
        <w:rPr>
          <w:rFonts w:asciiTheme="majorHAnsi" w:hAnsiTheme="majorHAnsi" w:cstheme="majorHAnsi"/>
          <w:i/>
          <w:iCs/>
          <w:color w:val="1A1A1A"/>
          <w:sz w:val="24"/>
          <w:szCs w:val="24"/>
        </w:rPr>
        <w:t xml:space="preserve">Answer: Please reference </w:t>
      </w:r>
      <w:r w:rsidR="00DB644B" w:rsidRPr="00DB644B">
        <w:rPr>
          <w:rFonts w:asciiTheme="majorHAnsi" w:hAnsiTheme="majorHAnsi" w:cstheme="majorHAnsi"/>
          <w:i/>
          <w:iCs/>
          <w:color w:val="1A1A1A"/>
          <w:sz w:val="24"/>
          <w:szCs w:val="24"/>
        </w:rPr>
        <w:t>RFP</w:t>
      </w:r>
      <w:r w:rsidRPr="00DB644B">
        <w:rPr>
          <w:rFonts w:asciiTheme="majorHAnsi" w:hAnsiTheme="majorHAnsi" w:cstheme="majorHAnsi"/>
          <w:i/>
          <w:iCs/>
          <w:color w:val="1A1A1A"/>
          <w:sz w:val="24"/>
          <w:szCs w:val="24"/>
        </w:rPr>
        <w:t>.</w:t>
      </w:r>
    </w:p>
    <w:p w14:paraId="60B0438E" w14:textId="198A54CE"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75. </w:t>
      </w:r>
      <w:r w:rsidR="00DB644B">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How should proposers submit requested exceptions to Attachment 2A, General Terms and Conditions, given that the Proposal Submittal Form addresses scope exceptions under Section 2.2? Will CMAP consider a mutually agreed limitation of liability?</w:t>
      </w:r>
      <w:r w:rsidR="00DB644B">
        <w:rPr>
          <w:rFonts w:asciiTheme="majorHAnsi" w:hAnsiTheme="majorHAnsi" w:cstheme="majorHAnsi"/>
          <w:b/>
          <w:color w:val="000000"/>
          <w:sz w:val="24"/>
          <w:szCs w:val="24"/>
        </w:rPr>
        <w:t xml:space="preserve"> </w:t>
      </w:r>
      <w:r w:rsidRPr="00DB644B">
        <w:rPr>
          <w:rFonts w:asciiTheme="majorHAnsi" w:hAnsiTheme="majorHAnsi" w:cstheme="majorHAnsi"/>
          <w:i/>
          <w:iCs/>
          <w:color w:val="1A1A1A"/>
          <w:sz w:val="24"/>
          <w:szCs w:val="24"/>
        </w:rPr>
        <w:t>Answer: Please reference RFP.</w:t>
      </w:r>
    </w:p>
    <w:p w14:paraId="13809A07" w14:textId="664A10AF"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76. </w:t>
      </w:r>
      <w:r w:rsidR="00DB644B">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3.6: May the Technology Errors and Omissions / Cyber Liability limits be met through a combination of primary and excess or umbrella policies? Are certificates of insurance required with the proposal or only after award?</w:t>
      </w:r>
      <w:r w:rsidR="00DB644B">
        <w:rPr>
          <w:rFonts w:asciiTheme="majorHAnsi" w:hAnsiTheme="majorHAnsi" w:cstheme="majorHAnsi"/>
          <w:b/>
          <w:color w:val="000000"/>
          <w:sz w:val="24"/>
          <w:szCs w:val="24"/>
        </w:rPr>
        <w:t xml:space="preserve"> </w:t>
      </w:r>
      <w:r w:rsidRPr="00DB644B">
        <w:rPr>
          <w:rFonts w:asciiTheme="majorHAnsi" w:hAnsiTheme="majorHAnsi" w:cstheme="majorHAnsi"/>
          <w:i/>
          <w:iCs/>
          <w:color w:val="1A1A1A"/>
          <w:sz w:val="24"/>
          <w:szCs w:val="24"/>
        </w:rPr>
        <w:t>Answer: Please reference RFP.</w:t>
      </w:r>
    </w:p>
    <w:p w14:paraId="2181F821" w14:textId="7528F57F" w:rsidR="00E01DAD" w:rsidRPr="00DB644B"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77. </w:t>
      </w:r>
      <w:r w:rsidR="00DB644B">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Please confirm the intended references and values in the following: Attachment 4, Maintenance and Support item 1, cites "Section 2, item 4.8" and "Section 5" for service levels (we assume Section 2.1.8); Attachment 2A, paragraph 13(b)(3), cites "Attachment 5" for payment obligations; and Section 2.1.8 shows bracketed values for maintenance notice (five business days) and SLA reporting (ten business days).</w:t>
      </w:r>
      <w:r w:rsidR="00DB644B">
        <w:rPr>
          <w:rFonts w:asciiTheme="majorHAnsi" w:hAnsiTheme="majorHAnsi" w:cstheme="majorHAnsi"/>
          <w:b/>
          <w:color w:val="000000"/>
          <w:sz w:val="24"/>
          <w:szCs w:val="24"/>
        </w:rPr>
        <w:t xml:space="preserve"> </w:t>
      </w:r>
      <w:r w:rsidRPr="00DB644B">
        <w:rPr>
          <w:rFonts w:asciiTheme="majorHAnsi" w:hAnsiTheme="majorHAnsi" w:cstheme="majorHAnsi"/>
          <w:i/>
          <w:iCs/>
          <w:color w:val="1A1A1A"/>
          <w:sz w:val="24"/>
          <w:szCs w:val="24"/>
        </w:rPr>
        <w:t>Answer: Confirmed on all three points. The service levels intended are those set out in the Scope of Services section on service levels. The reference in the Interrogatories to a numbered item and to a separate numbered section for service levels is a clerical error; read it as the Scope of Services section on service levels. The payment reference in the General Terms and Conditions should be read as the invoicing provisions of the solicitation, not the Solution Clarification Questionnaire. The intended values are a maintenance notice period of five (5) business days and SLA reporting of ten (10) business days; the brackets are formatting artifacts and carry no meaning. These clarifications are stated in the Clarifications to the Solicitation section of this document and apply to all proposers.</w:t>
      </w:r>
    </w:p>
    <w:p w14:paraId="5B48C2F8" w14:textId="516549F2" w:rsidR="00E01DAD" w:rsidRPr="00DB644B"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lastRenderedPageBreak/>
        <w:t xml:space="preserve">78. </w:t>
      </w:r>
      <w:r w:rsidR="00DB644B">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4.2: Is there a budget or independent cost estimate range CMAP is able to share?</w:t>
      </w:r>
      <w:r w:rsidR="00DB644B">
        <w:rPr>
          <w:rFonts w:asciiTheme="majorHAnsi" w:hAnsiTheme="majorHAnsi" w:cstheme="majorHAnsi"/>
          <w:b/>
          <w:color w:val="000000"/>
          <w:sz w:val="24"/>
          <w:szCs w:val="24"/>
        </w:rPr>
        <w:t xml:space="preserve"> </w:t>
      </w:r>
      <w:r w:rsidRPr="00DB644B">
        <w:rPr>
          <w:rFonts w:asciiTheme="majorHAnsi" w:hAnsiTheme="majorHAnsi" w:cstheme="majorHAnsi"/>
          <w:i/>
          <w:iCs/>
          <w:color w:val="1A1A1A"/>
          <w:sz w:val="24"/>
          <w:szCs w:val="24"/>
        </w:rPr>
        <w:t>Answer: Please reference question number 13.</w:t>
      </w:r>
    </w:p>
    <w:p w14:paraId="0B923B34" w14:textId="1F3523C3"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79. </w:t>
      </w:r>
      <w:r w:rsidR="00DB644B">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4.2: If demonstrations are held, will CMAP provide scripted scenarios in advance, and will they cover the supplier experience (registering, finding a solicitation, submitting a response) as well as staff workflows? What dates should proposers reserve?</w:t>
      </w:r>
      <w:r w:rsidR="00DB644B">
        <w:rPr>
          <w:rFonts w:asciiTheme="majorHAnsi" w:hAnsiTheme="majorHAnsi" w:cstheme="majorHAnsi"/>
          <w:b/>
          <w:color w:val="000000"/>
          <w:sz w:val="24"/>
          <w:szCs w:val="24"/>
        </w:rPr>
        <w:t xml:space="preserve"> </w:t>
      </w:r>
      <w:r w:rsidRPr="005B56A7">
        <w:rPr>
          <w:rFonts w:asciiTheme="majorHAnsi" w:hAnsiTheme="majorHAnsi" w:cstheme="majorHAnsi"/>
          <w:i/>
          <w:iCs/>
          <w:color w:val="1A1A1A"/>
          <w:sz w:val="24"/>
          <w:szCs w:val="24"/>
        </w:rPr>
        <w:t>Answer: Please reference RFP.</w:t>
      </w:r>
    </w:p>
    <w:p w14:paraId="0F3AE2D2" w14:textId="66439FEE"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80. </w:t>
      </w:r>
      <w:r w:rsidR="005B56A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In the Bidder Information Tab of the Proposal Submittal Form (Excel), you ask for a "Client List of services rendered currently and/or in the recent past." How would you like us to address the client list requirement, as we have over 7,000 current public-sector clients?</w:t>
      </w:r>
      <w:r w:rsidR="005B56A7">
        <w:rPr>
          <w:rFonts w:asciiTheme="majorHAnsi" w:hAnsiTheme="majorHAnsi" w:cstheme="majorHAnsi"/>
          <w:b/>
          <w:color w:val="000000"/>
          <w:sz w:val="24"/>
          <w:szCs w:val="24"/>
        </w:rPr>
        <w:t xml:space="preserve"> </w:t>
      </w:r>
      <w:r w:rsidRPr="00410576">
        <w:rPr>
          <w:rFonts w:asciiTheme="majorHAnsi" w:hAnsiTheme="majorHAnsi" w:cstheme="majorHAnsi"/>
          <w:color w:val="1A1A1A"/>
          <w:sz w:val="24"/>
          <w:szCs w:val="24"/>
        </w:rPr>
        <w:t xml:space="preserve">Answer: Please reference </w:t>
      </w:r>
      <w:r w:rsidR="005B56A7">
        <w:rPr>
          <w:rFonts w:asciiTheme="majorHAnsi" w:hAnsiTheme="majorHAnsi" w:cstheme="majorHAnsi"/>
          <w:color w:val="1A1A1A"/>
          <w:sz w:val="24"/>
          <w:szCs w:val="24"/>
        </w:rPr>
        <w:t xml:space="preserve">Proposal </w:t>
      </w:r>
      <w:r w:rsidRPr="00410576">
        <w:rPr>
          <w:rFonts w:asciiTheme="majorHAnsi" w:hAnsiTheme="majorHAnsi" w:cstheme="majorHAnsi"/>
          <w:color w:val="1A1A1A"/>
          <w:sz w:val="24"/>
          <w:szCs w:val="24"/>
        </w:rPr>
        <w:t>Attachment for the Bidder Information tab. Proposers may provide a representative client list rather than listing every client.</w:t>
      </w:r>
    </w:p>
    <w:p w14:paraId="150EFD7B" w14:textId="31DEFFE4"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81. </w:t>
      </w:r>
      <w:r w:rsidR="005B56A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In Attachment 5, how would you like us to identify any potential functionality coverage gaps with a code?</w:t>
      </w:r>
      <w:r w:rsidR="005B56A7">
        <w:rPr>
          <w:rFonts w:asciiTheme="majorHAnsi" w:hAnsiTheme="majorHAnsi" w:cstheme="majorHAnsi"/>
          <w:b/>
          <w:color w:val="000000"/>
          <w:sz w:val="24"/>
          <w:szCs w:val="24"/>
        </w:rPr>
        <w:t xml:space="preserve"> </w:t>
      </w:r>
      <w:r w:rsidRPr="005B56A7">
        <w:rPr>
          <w:rFonts w:asciiTheme="majorHAnsi" w:hAnsiTheme="majorHAnsi" w:cstheme="majorHAnsi"/>
          <w:i/>
          <w:iCs/>
          <w:color w:val="1A1A1A"/>
          <w:sz w:val="24"/>
          <w:szCs w:val="24"/>
        </w:rPr>
        <w:t xml:space="preserve">Answer: Please reference </w:t>
      </w:r>
      <w:r w:rsidR="005B56A7">
        <w:rPr>
          <w:rFonts w:asciiTheme="majorHAnsi" w:hAnsiTheme="majorHAnsi" w:cstheme="majorHAnsi"/>
          <w:i/>
          <w:iCs/>
          <w:color w:val="1A1A1A"/>
          <w:sz w:val="24"/>
          <w:szCs w:val="24"/>
        </w:rPr>
        <w:t>RFP.</w:t>
      </w:r>
    </w:p>
    <w:p w14:paraId="72EA5F52" w14:textId="4FEA2612"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82. </w:t>
      </w:r>
      <w:r w:rsidR="005B56A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1.4 identifies Microsoft Dynamics 365 as CMAP’s financial system of record. Section 2.1.2(d) states CMAP’s preference that requisitions, budget verification and approvals be completed in D365. Attachment 7 shows purchase orders created in D365 and invoices paid by accounting. Please confirm that CMAP intends PO creation, PO change orders, receiving, three-way matching, invoice approval, and payment to remain in D365. Please also confirm that the proposed solution should support these steps by integrating with D365, not by duplicating them.</w:t>
      </w:r>
      <w:r w:rsidR="005B56A7">
        <w:rPr>
          <w:rFonts w:asciiTheme="majorHAnsi" w:hAnsiTheme="majorHAnsi" w:cstheme="majorHAnsi"/>
          <w:b/>
          <w:color w:val="000000"/>
          <w:sz w:val="24"/>
          <w:szCs w:val="24"/>
        </w:rPr>
        <w:t xml:space="preserve"> </w:t>
      </w:r>
      <w:r w:rsidRPr="005B56A7">
        <w:rPr>
          <w:rFonts w:asciiTheme="majorHAnsi" w:hAnsiTheme="majorHAnsi" w:cstheme="majorHAnsi"/>
          <w:i/>
          <w:iCs/>
          <w:color w:val="1A1A1A"/>
          <w:sz w:val="24"/>
          <w:szCs w:val="24"/>
        </w:rPr>
        <w:t>Answer: Please reference question number 2.</w:t>
      </w:r>
    </w:p>
    <w:p w14:paraId="54971E18" w14:textId="289E7966"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83. </w:t>
      </w:r>
      <w:r w:rsidR="005B56A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Since the above-listed functions would be performed in CMAP’s D365 environment, please confirm that proposers should answer Attachment 5, rows 10–13 by describing how the solution integrates with D365 for each function. A response category such as “via integration with CMAP’s ERP” would help.</w:t>
      </w:r>
      <w:r w:rsidR="005B56A7">
        <w:rPr>
          <w:rFonts w:asciiTheme="majorHAnsi" w:hAnsiTheme="majorHAnsi" w:cstheme="majorHAnsi"/>
          <w:b/>
          <w:color w:val="000000"/>
          <w:sz w:val="24"/>
          <w:szCs w:val="24"/>
        </w:rPr>
        <w:t xml:space="preserve"> </w:t>
      </w:r>
      <w:r w:rsidRPr="005B56A7">
        <w:rPr>
          <w:rFonts w:asciiTheme="majorHAnsi" w:hAnsiTheme="majorHAnsi" w:cstheme="majorHAnsi"/>
          <w:i/>
          <w:iCs/>
          <w:color w:val="1A1A1A"/>
          <w:sz w:val="24"/>
          <w:szCs w:val="24"/>
        </w:rPr>
        <w:t xml:space="preserve">Answer: Please reference Attachment and question number </w:t>
      </w:r>
      <w:r w:rsidR="005B56A7">
        <w:rPr>
          <w:rFonts w:asciiTheme="majorHAnsi" w:hAnsiTheme="majorHAnsi" w:cstheme="majorHAnsi"/>
          <w:i/>
          <w:iCs/>
          <w:color w:val="1A1A1A"/>
          <w:sz w:val="24"/>
          <w:szCs w:val="24"/>
        </w:rPr>
        <w:t>2</w:t>
      </w:r>
      <w:r w:rsidRPr="005B56A7">
        <w:rPr>
          <w:rFonts w:asciiTheme="majorHAnsi" w:hAnsiTheme="majorHAnsi" w:cstheme="majorHAnsi"/>
          <w:i/>
          <w:iCs/>
          <w:color w:val="1A1A1A"/>
          <w:sz w:val="24"/>
          <w:szCs w:val="24"/>
        </w:rPr>
        <w:t>.</w:t>
      </w:r>
    </w:p>
    <w:p w14:paraId="3DBD642B" w14:textId="0BE6EE88"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84. </w:t>
      </w:r>
      <w:r w:rsidR="005B56A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Section 4.1 states that cost will be evaluated against CMAP’s independent cost estimate, and that award is contingent on available funding. To help proposers submit right-sized, comparable pricing, would CMAP share either the budget set aside for this project or the range of its independent cost estimate? Please also indicate whether that amount covers both one-time implementation costs and the annual subscription, and whether it covers the initial three-year term or the full five-year total cost of ownership.</w:t>
      </w:r>
      <w:r w:rsidR="005B56A7">
        <w:rPr>
          <w:rFonts w:asciiTheme="majorHAnsi" w:hAnsiTheme="majorHAnsi" w:cstheme="majorHAnsi"/>
          <w:b/>
          <w:color w:val="000000"/>
          <w:sz w:val="24"/>
          <w:szCs w:val="24"/>
        </w:rPr>
        <w:t xml:space="preserve"> </w:t>
      </w:r>
      <w:r w:rsidRPr="005B56A7">
        <w:rPr>
          <w:rFonts w:asciiTheme="majorHAnsi" w:hAnsiTheme="majorHAnsi" w:cstheme="majorHAnsi"/>
          <w:i/>
          <w:iCs/>
          <w:color w:val="1A1A1A"/>
          <w:sz w:val="24"/>
          <w:szCs w:val="24"/>
        </w:rPr>
        <w:t xml:space="preserve">Answer: Please reference question number </w:t>
      </w:r>
      <w:r w:rsidR="005B56A7">
        <w:rPr>
          <w:rFonts w:asciiTheme="majorHAnsi" w:hAnsiTheme="majorHAnsi" w:cstheme="majorHAnsi"/>
          <w:i/>
          <w:iCs/>
          <w:color w:val="1A1A1A"/>
          <w:sz w:val="24"/>
          <w:szCs w:val="24"/>
        </w:rPr>
        <w:t>2</w:t>
      </w:r>
      <w:r w:rsidRPr="00410576">
        <w:rPr>
          <w:rFonts w:asciiTheme="majorHAnsi" w:hAnsiTheme="majorHAnsi" w:cstheme="majorHAnsi"/>
          <w:color w:val="1A1A1A"/>
          <w:sz w:val="24"/>
          <w:szCs w:val="24"/>
        </w:rPr>
        <w:t>.</w:t>
      </w:r>
    </w:p>
    <w:p w14:paraId="33634ABA" w14:textId="484A0ECF"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85. </w:t>
      </w:r>
      <w:r w:rsidR="005B56A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Can CMAP provide an estimate of the number of suppliers, historical solicitations, and contracts that should be migrated into the new solution?</w:t>
      </w:r>
      <w:r w:rsidR="005B56A7">
        <w:rPr>
          <w:rFonts w:asciiTheme="majorHAnsi" w:hAnsiTheme="majorHAnsi" w:cstheme="majorHAnsi"/>
          <w:b/>
          <w:color w:val="000000"/>
          <w:sz w:val="24"/>
          <w:szCs w:val="24"/>
        </w:rPr>
        <w:t xml:space="preserve"> </w:t>
      </w:r>
      <w:r w:rsidRPr="005B56A7">
        <w:rPr>
          <w:rFonts w:asciiTheme="majorHAnsi" w:hAnsiTheme="majorHAnsi" w:cstheme="majorHAnsi"/>
          <w:i/>
          <w:iCs/>
          <w:color w:val="1A1A1A"/>
          <w:sz w:val="24"/>
          <w:szCs w:val="24"/>
        </w:rPr>
        <w:t>Answer: Please reference question numbers 2.</w:t>
      </w:r>
    </w:p>
    <w:p w14:paraId="5E4B9B77" w14:textId="071F9159"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86. </w:t>
      </w:r>
      <w:r w:rsidR="005B56A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For Records Retention in Section 2.1.2 (e), the contract requires the vendor to comply with “CMAP’s records-retention, public-records, and audit-request procedures.” Would CMAP please provide its current records retention schedule, or the retention periods that apply to solicitation, contract, and supplier records?</w:t>
      </w:r>
      <w:r w:rsidR="005B56A7">
        <w:rPr>
          <w:rFonts w:asciiTheme="majorHAnsi" w:hAnsiTheme="majorHAnsi" w:cstheme="majorHAnsi"/>
          <w:b/>
          <w:color w:val="000000"/>
          <w:sz w:val="24"/>
          <w:szCs w:val="24"/>
        </w:rPr>
        <w:t xml:space="preserve"> </w:t>
      </w:r>
      <w:r w:rsidRPr="005B56A7">
        <w:rPr>
          <w:rFonts w:asciiTheme="majorHAnsi" w:hAnsiTheme="majorHAnsi" w:cstheme="majorHAnsi"/>
          <w:i/>
          <w:iCs/>
          <w:color w:val="1A1A1A"/>
          <w:sz w:val="24"/>
          <w:szCs w:val="24"/>
        </w:rPr>
        <w:t>Answer: Please reference RFP</w:t>
      </w:r>
      <w:r w:rsidRPr="00410576">
        <w:rPr>
          <w:rFonts w:asciiTheme="majorHAnsi" w:hAnsiTheme="majorHAnsi" w:cstheme="majorHAnsi"/>
          <w:color w:val="1A1A1A"/>
          <w:sz w:val="24"/>
          <w:szCs w:val="24"/>
        </w:rPr>
        <w:t>.</w:t>
      </w:r>
    </w:p>
    <w:p w14:paraId="058D239A" w14:textId="4E31E400" w:rsidR="00E01DAD" w:rsidRPr="005B56A7"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87. </w:t>
      </w:r>
      <w:r w:rsidR="005B56A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Which procurement-related Dynamics 365 modules (e.g., Accounts Payable, Budgeting) are currently implemented and operational?</w:t>
      </w:r>
      <w:r w:rsidR="005B56A7">
        <w:rPr>
          <w:rFonts w:asciiTheme="majorHAnsi" w:hAnsiTheme="majorHAnsi" w:cstheme="majorHAnsi"/>
          <w:b/>
          <w:color w:val="000000"/>
          <w:sz w:val="24"/>
          <w:szCs w:val="24"/>
        </w:rPr>
        <w:t xml:space="preserve"> </w:t>
      </w:r>
      <w:r w:rsidRPr="005B56A7">
        <w:rPr>
          <w:rFonts w:asciiTheme="majorHAnsi" w:hAnsiTheme="majorHAnsi" w:cstheme="majorHAnsi"/>
          <w:i/>
          <w:iCs/>
          <w:color w:val="1A1A1A"/>
          <w:sz w:val="24"/>
          <w:szCs w:val="24"/>
        </w:rPr>
        <w:t>Answer: Please reference RFP</w:t>
      </w:r>
      <w:r w:rsidR="005B56A7">
        <w:rPr>
          <w:rFonts w:asciiTheme="majorHAnsi" w:hAnsiTheme="majorHAnsi" w:cstheme="majorHAnsi"/>
          <w:i/>
          <w:iCs/>
          <w:color w:val="1A1A1A"/>
          <w:sz w:val="24"/>
          <w:szCs w:val="24"/>
        </w:rPr>
        <w:t>.</w:t>
      </w:r>
    </w:p>
    <w:p w14:paraId="732DFCD1" w14:textId="101FEE85" w:rsidR="00E01DAD" w:rsidRPr="005B56A7"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88. </w:t>
      </w:r>
      <w:r w:rsidR="005B56A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Are there existing customizations to forms, workflows, or approval processes?</w:t>
      </w:r>
      <w:r w:rsidR="005B56A7">
        <w:rPr>
          <w:rFonts w:asciiTheme="majorHAnsi" w:hAnsiTheme="majorHAnsi" w:cstheme="majorHAnsi"/>
          <w:b/>
          <w:color w:val="000000"/>
          <w:sz w:val="24"/>
          <w:szCs w:val="24"/>
        </w:rPr>
        <w:t xml:space="preserve"> </w:t>
      </w:r>
      <w:r w:rsidRPr="005B56A7">
        <w:rPr>
          <w:rFonts w:asciiTheme="majorHAnsi" w:hAnsiTheme="majorHAnsi" w:cstheme="majorHAnsi"/>
          <w:i/>
          <w:iCs/>
          <w:color w:val="1A1A1A"/>
          <w:sz w:val="24"/>
          <w:szCs w:val="24"/>
        </w:rPr>
        <w:t>Answer: Please reference RFP.</w:t>
      </w:r>
    </w:p>
    <w:p w14:paraId="723F8399" w14:textId="7F0FD9D0" w:rsidR="00E01DAD" w:rsidRPr="005B56A7"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lastRenderedPageBreak/>
        <w:t xml:space="preserve">89. </w:t>
      </w:r>
      <w:r w:rsidR="005B56A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Does CMAP expect the selected vendor to implement or enhance these modules, or is the scope limited to integration with existing functionality?</w:t>
      </w:r>
      <w:r w:rsidR="005B56A7">
        <w:rPr>
          <w:rFonts w:asciiTheme="majorHAnsi" w:hAnsiTheme="majorHAnsi" w:cstheme="majorHAnsi"/>
          <w:b/>
          <w:color w:val="000000"/>
          <w:sz w:val="24"/>
          <w:szCs w:val="24"/>
        </w:rPr>
        <w:t xml:space="preserve"> </w:t>
      </w:r>
      <w:r w:rsidRPr="005B56A7">
        <w:rPr>
          <w:rFonts w:asciiTheme="majorHAnsi" w:hAnsiTheme="majorHAnsi" w:cstheme="majorHAnsi"/>
          <w:i/>
          <w:iCs/>
          <w:color w:val="1A1A1A"/>
          <w:sz w:val="24"/>
          <w:szCs w:val="24"/>
        </w:rPr>
        <w:t>Answer: Please reference RFP.</w:t>
      </w:r>
    </w:p>
    <w:p w14:paraId="1EFE1BBC" w14:textId="1C82D151" w:rsidR="00E01DAD" w:rsidRPr="005B56A7"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90. </w:t>
      </w:r>
      <w:r w:rsidR="005B56A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Has CMAP evaluated the native Dynamics 365 Vendor Collaboration portal? If so, what functional gaps or limitations prevent it from meeting CMAP's requirements?</w:t>
      </w:r>
      <w:r w:rsidR="005B56A7">
        <w:rPr>
          <w:rFonts w:asciiTheme="majorHAnsi" w:hAnsiTheme="majorHAnsi" w:cstheme="majorHAnsi"/>
          <w:b/>
          <w:color w:val="000000"/>
          <w:sz w:val="24"/>
          <w:szCs w:val="24"/>
        </w:rPr>
        <w:t xml:space="preserve"> </w:t>
      </w:r>
      <w:r w:rsidRPr="005B56A7">
        <w:rPr>
          <w:rFonts w:asciiTheme="majorHAnsi" w:hAnsiTheme="majorHAnsi" w:cstheme="majorHAnsi"/>
          <w:i/>
          <w:iCs/>
          <w:color w:val="1A1A1A"/>
          <w:sz w:val="24"/>
          <w:szCs w:val="24"/>
        </w:rPr>
        <w:t>Answer: Please reference RFP.</w:t>
      </w:r>
    </w:p>
    <w:p w14:paraId="20A93B6B" w14:textId="1DC7ECE0"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91. </w:t>
      </w:r>
      <w:r w:rsidR="005B56A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Does CMAP have non-production Dynamics 365 environments (Development and Test) available to support implementation and integration testing?</w:t>
      </w:r>
      <w:r w:rsidR="005B56A7">
        <w:rPr>
          <w:rFonts w:asciiTheme="majorHAnsi" w:hAnsiTheme="majorHAnsi" w:cstheme="majorHAnsi"/>
          <w:b/>
          <w:color w:val="000000"/>
          <w:sz w:val="24"/>
          <w:szCs w:val="24"/>
        </w:rPr>
        <w:t xml:space="preserve"> </w:t>
      </w:r>
      <w:r w:rsidRPr="005B56A7">
        <w:rPr>
          <w:rFonts w:asciiTheme="majorHAnsi" w:hAnsiTheme="majorHAnsi" w:cstheme="majorHAnsi"/>
          <w:i/>
          <w:iCs/>
          <w:color w:val="1A1A1A"/>
          <w:sz w:val="24"/>
          <w:szCs w:val="24"/>
        </w:rPr>
        <w:t>Answer: Please reference RFP.</w:t>
      </w:r>
    </w:p>
    <w:p w14:paraId="580DEB62" w14:textId="0F28404B"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92. </w:t>
      </w:r>
      <w:r w:rsidR="005B56A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Which procurement-related data entities (vendors, purchase requisitions, purchase orders, procurement categories, etc.) currently exist and are actively maintained in Dynamics 365? Please provide approximate vendor and purchase order counts. Will the selected vendor be responsible for converting, creating, or updating any of this data within Dynamics 365?</w:t>
      </w:r>
      <w:r w:rsidR="005B56A7">
        <w:rPr>
          <w:rFonts w:asciiTheme="majorHAnsi" w:hAnsiTheme="majorHAnsi" w:cstheme="majorHAnsi"/>
          <w:b/>
          <w:color w:val="000000"/>
          <w:sz w:val="24"/>
          <w:szCs w:val="24"/>
        </w:rPr>
        <w:t xml:space="preserve"> </w:t>
      </w:r>
      <w:r w:rsidRPr="005B56A7">
        <w:rPr>
          <w:rFonts w:asciiTheme="majorHAnsi" w:hAnsiTheme="majorHAnsi" w:cstheme="majorHAnsi"/>
          <w:i/>
          <w:iCs/>
          <w:color w:val="1A1A1A"/>
          <w:sz w:val="24"/>
          <w:szCs w:val="24"/>
        </w:rPr>
        <w:t xml:space="preserve">Answer: Please </w:t>
      </w:r>
      <w:r w:rsidR="005B56A7">
        <w:rPr>
          <w:rFonts w:asciiTheme="majorHAnsi" w:hAnsiTheme="majorHAnsi" w:cstheme="majorHAnsi"/>
          <w:i/>
          <w:iCs/>
          <w:color w:val="1A1A1A"/>
          <w:sz w:val="24"/>
          <w:szCs w:val="24"/>
        </w:rPr>
        <w:t>RFP</w:t>
      </w:r>
      <w:r w:rsidRPr="005B56A7">
        <w:rPr>
          <w:rFonts w:asciiTheme="majorHAnsi" w:hAnsiTheme="majorHAnsi" w:cstheme="majorHAnsi"/>
          <w:i/>
          <w:iCs/>
          <w:color w:val="1A1A1A"/>
          <w:sz w:val="24"/>
          <w:szCs w:val="24"/>
        </w:rPr>
        <w:t>.</w:t>
      </w:r>
    </w:p>
    <w:p w14:paraId="4B9009D0" w14:textId="6B3192CD"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93. </w:t>
      </w:r>
      <w:r w:rsidR="005B56A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During the pre-bid conference, CMAP referenced approximately two administrators and 100 other users. Can CMAP clarify the anticipated user roles and activities across the procurement lifecycle, including requisitioning, approvals, solicitation management, supplier management, and contract administration?</w:t>
      </w:r>
      <w:r w:rsidR="005B56A7">
        <w:rPr>
          <w:rFonts w:asciiTheme="majorHAnsi" w:hAnsiTheme="majorHAnsi" w:cstheme="majorHAnsi"/>
          <w:b/>
          <w:color w:val="000000"/>
          <w:sz w:val="24"/>
          <w:szCs w:val="24"/>
        </w:rPr>
        <w:t xml:space="preserve"> </w:t>
      </w:r>
      <w:r w:rsidRPr="001473F7">
        <w:rPr>
          <w:rFonts w:asciiTheme="majorHAnsi" w:hAnsiTheme="majorHAnsi" w:cstheme="majorHAnsi"/>
          <w:i/>
          <w:iCs/>
          <w:color w:val="1A1A1A"/>
          <w:sz w:val="24"/>
          <w:szCs w:val="24"/>
        </w:rPr>
        <w:t>Answer: Please reference question numbers 6 and 15.</w:t>
      </w:r>
    </w:p>
    <w:p w14:paraId="6662EE44" w14:textId="3C903D11"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94. </w:t>
      </w:r>
      <w:r w:rsidR="001473F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What solicitation types does CMAP currently utilize, and approximately how many solicitation templates, contract templates, and standard terms and conditions must be configured or migrated?</w:t>
      </w:r>
      <w:r w:rsidR="001473F7">
        <w:rPr>
          <w:rFonts w:asciiTheme="majorHAnsi" w:hAnsiTheme="majorHAnsi" w:cstheme="majorHAnsi"/>
          <w:b/>
          <w:color w:val="000000"/>
          <w:sz w:val="24"/>
          <w:szCs w:val="24"/>
        </w:rPr>
        <w:t xml:space="preserve"> </w:t>
      </w:r>
      <w:r w:rsidRPr="001473F7">
        <w:rPr>
          <w:rFonts w:asciiTheme="majorHAnsi" w:hAnsiTheme="majorHAnsi" w:cstheme="majorHAnsi"/>
          <w:i/>
          <w:iCs/>
          <w:color w:val="1A1A1A"/>
          <w:sz w:val="24"/>
          <w:szCs w:val="24"/>
        </w:rPr>
        <w:t>Answer: Please reference RFP.</w:t>
      </w:r>
    </w:p>
    <w:p w14:paraId="615E7820" w14:textId="59E1D461"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95. </w:t>
      </w:r>
      <w:r w:rsidR="001473F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Will anonymous users be permitted to view and download solicitation documents, or must all external users register and authenticate before accessing solicitation materials?</w:t>
      </w:r>
      <w:r w:rsidR="001473F7">
        <w:rPr>
          <w:rFonts w:asciiTheme="majorHAnsi" w:hAnsiTheme="majorHAnsi" w:cstheme="majorHAnsi"/>
          <w:b/>
          <w:color w:val="000000"/>
          <w:sz w:val="24"/>
          <w:szCs w:val="24"/>
        </w:rPr>
        <w:t xml:space="preserve"> </w:t>
      </w:r>
      <w:r w:rsidRPr="001473F7">
        <w:rPr>
          <w:rFonts w:asciiTheme="majorHAnsi" w:hAnsiTheme="majorHAnsi" w:cstheme="majorHAnsi"/>
          <w:i/>
          <w:iCs/>
          <w:color w:val="1A1A1A"/>
          <w:sz w:val="24"/>
          <w:szCs w:val="24"/>
        </w:rPr>
        <w:t>Answer: Please reference RFP.</w:t>
      </w:r>
    </w:p>
    <w:p w14:paraId="4D199E3E" w14:textId="4439A96A" w:rsidR="00E01DAD" w:rsidRPr="001473F7"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96. </w:t>
      </w:r>
      <w:r w:rsidR="001473F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Does CMAP currently have an enterprise agreement with an electronic signature provider that the selected solution must integrate with or leverage?</w:t>
      </w:r>
      <w:r w:rsidR="001473F7">
        <w:rPr>
          <w:rFonts w:asciiTheme="majorHAnsi" w:hAnsiTheme="majorHAnsi" w:cstheme="majorHAnsi"/>
          <w:b/>
          <w:color w:val="000000"/>
          <w:sz w:val="24"/>
          <w:szCs w:val="24"/>
        </w:rPr>
        <w:t xml:space="preserve"> </w:t>
      </w:r>
      <w:r w:rsidRPr="001473F7">
        <w:rPr>
          <w:rFonts w:asciiTheme="majorHAnsi" w:hAnsiTheme="majorHAnsi" w:cstheme="majorHAnsi"/>
          <w:i/>
          <w:iCs/>
          <w:color w:val="1A1A1A"/>
          <w:sz w:val="24"/>
          <w:szCs w:val="24"/>
        </w:rPr>
        <w:t>Answer: Please reference question number 34.</w:t>
      </w:r>
    </w:p>
    <w:p w14:paraId="0EBFC32D" w14:textId="4233A8C6"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97. </w:t>
      </w:r>
      <w:r w:rsidR="001473F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Can CMAP provide Attachment 4 and Attachment 5 in Word or Excel format for easier completion?</w:t>
      </w:r>
      <w:r w:rsidR="001473F7">
        <w:rPr>
          <w:rFonts w:asciiTheme="majorHAnsi" w:hAnsiTheme="majorHAnsi" w:cstheme="majorHAnsi"/>
          <w:b/>
          <w:color w:val="000000"/>
          <w:sz w:val="24"/>
          <w:szCs w:val="24"/>
        </w:rPr>
        <w:t xml:space="preserve"> </w:t>
      </w:r>
      <w:r w:rsidRPr="001473F7">
        <w:rPr>
          <w:rFonts w:asciiTheme="majorHAnsi" w:hAnsiTheme="majorHAnsi" w:cstheme="majorHAnsi"/>
          <w:i/>
          <w:iCs/>
          <w:color w:val="1A1A1A"/>
          <w:sz w:val="24"/>
          <w:szCs w:val="24"/>
        </w:rPr>
        <w:t>Answer: Please reference question number 26.</w:t>
      </w:r>
    </w:p>
    <w:p w14:paraId="7A050740" w14:textId="101BDB73" w:rsidR="00E01DAD" w:rsidRPr="001473F7" w:rsidRDefault="008A0E6A" w:rsidP="00FA4247">
      <w:pPr>
        <w:spacing w:before="120" w:after="120" w:line="240" w:lineRule="auto"/>
        <w:ind w:left="-540" w:right="-720" w:hanging="630"/>
        <w:rPr>
          <w:rFonts w:asciiTheme="majorHAnsi" w:hAnsiTheme="majorHAnsi" w:cstheme="majorHAnsi"/>
          <w:i/>
          <w:iCs/>
          <w:sz w:val="24"/>
          <w:szCs w:val="24"/>
        </w:rPr>
      </w:pPr>
      <w:r w:rsidRPr="00410576">
        <w:rPr>
          <w:rFonts w:asciiTheme="majorHAnsi" w:hAnsiTheme="majorHAnsi" w:cstheme="majorHAnsi"/>
          <w:b/>
          <w:color w:val="000000"/>
          <w:sz w:val="24"/>
          <w:szCs w:val="24"/>
        </w:rPr>
        <w:t xml:space="preserve">98. </w:t>
      </w:r>
      <w:r w:rsidR="001473F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Please provide estimated counts for internal users by role, registered and active suppliers, annual solicitations, active contracts, purchase orders, receipts, invoices, catalog transactions, and anticipated document-storage volume, including expected growth during the five-year term.</w:t>
      </w:r>
      <w:r w:rsidR="001473F7">
        <w:rPr>
          <w:rFonts w:asciiTheme="majorHAnsi" w:hAnsiTheme="majorHAnsi" w:cstheme="majorHAnsi"/>
          <w:b/>
          <w:color w:val="000000"/>
          <w:sz w:val="24"/>
          <w:szCs w:val="24"/>
        </w:rPr>
        <w:t xml:space="preserve"> </w:t>
      </w:r>
      <w:r w:rsidRPr="001473F7">
        <w:rPr>
          <w:rFonts w:asciiTheme="majorHAnsi" w:hAnsiTheme="majorHAnsi" w:cstheme="majorHAnsi"/>
          <w:i/>
          <w:iCs/>
          <w:color w:val="1A1A1A"/>
          <w:sz w:val="24"/>
          <w:szCs w:val="24"/>
        </w:rPr>
        <w:t>Answer: Please reference question number</w:t>
      </w:r>
      <w:r w:rsidR="001473F7">
        <w:rPr>
          <w:rFonts w:asciiTheme="majorHAnsi" w:hAnsiTheme="majorHAnsi" w:cstheme="majorHAnsi"/>
          <w:i/>
          <w:iCs/>
          <w:color w:val="1A1A1A"/>
          <w:sz w:val="24"/>
          <w:szCs w:val="24"/>
        </w:rPr>
        <w:t>s</w:t>
      </w:r>
      <w:r w:rsidRPr="001473F7">
        <w:rPr>
          <w:rFonts w:asciiTheme="majorHAnsi" w:hAnsiTheme="majorHAnsi" w:cstheme="majorHAnsi"/>
          <w:i/>
          <w:iCs/>
          <w:color w:val="1A1A1A"/>
          <w:sz w:val="24"/>
          <w:szCs w:val="24"/>
        </w:rPr>
        <w:t xml:space="preserve"> 14, 15, and 56. CMAP does not provide additional volume projections.</w:t>
      </w:r>
    </w:p>
    <w:p w14:paraId="08C69A4E" w14:textId="01F042AD"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99. </w:t>
      </w:r>
      <w:r w:rsidR="001473F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Please identify the specific Microsoft Dynamics 365 product, modules, version, hosting model, material customizations, integration endpoints, middleware, and non-production environments currently available, and clarify whether CMAP or the selected vendor will be responsible for changes within Dynamics 365.</w:t>
      </w:r>
      <w:r w:rsidR="001473F7">
        <w:rPr>
          <w:rFonts w:asciiTheme="majorHAnsi" w:hAnsiTheme="majorHAnsi" w:cstheme="majorHAnsi"/>
          <w:b/>
          <w:color w:val="000000"/>
          <w:sz w:val="24"/>
          <w:szCs w:val="24"/>
        </w:rPr>
        <w:t xml:space="preserve"> </w:t>
      </w:r>
      <w:r w:rsidRPr="001473F7">
        <w:rPr>
          <w:rFonts w:asciiTheme="majorHAnsi" w:hAnsiTheme="majorHAnsi" w:cstheme="majorHAnsi"/>
          <w:i/>
          <w:iCs/>
          <w:color w:val="1A1A1A"/>
          <w:sz w:val="24"/>
          <w:szCs w:val="24"/>
        </w:rPr>
        <w:t>Answer: Please reference RFP.</w:t>
      </w:r>
    </w:p>
    <w:p w14:paraId="7E20DE4A" w14:textId="0BF25056"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100. </w:t>
      </w:r>
      <w:r w:rsidR="001473F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 xml:space="preserve">Please confirm which requisition-to-pay functions must remain within Dynamics 365 and which may be performed in the proposed platform, particularly budget verification, </w:t>
      </w:r>
      <w:r w:rsidRPr="00410576">
        <w:rPr>
          <w:rFonts w:asciiTheme="majorHAnsi" w:hAnsiTheme="majorHAnsi" w:cstheme="majorHAnsi"/>
          <w:b/>
          <w:color w:val="000000"/>
          <w:sz w:val="24"/>
          <w:szCs w:val="24"/>
        </w:rPr>
        <w:lastRenderedPageBreak/>
        <w:t>approvals, purchase-order generation, receiving, three-way matching, invoice approval, catalogs, and punch-out.</w:t>
      </w:r>
      <w:r w:rsidR="001473F7">
        <w:rPr>
          <w:rFonts w:asciiTheme="majorHAnsi" w:hAnsiTheme="majorHAnsi" w:cstheme="majorHAnsi"/>
          <w:b/>
          <w:color w:val="000000"/>
          <w:sz w:val="24"/>
          <w:szCs w:val="24"/>
        </w:rPr>
        <w:t xml:space="preserve"> </w:t>
      </w:r>
      <w:r w:rsidRPr="001473F7">
        <w:rPr>
          <w:rFonts w:asciiTheme="majorHAnsi" w:hAnsiTheme="majorHAnsi" w:cstheme="majorHAnsi"/>
          <w:i/>
          <w:iCs/>
          <w:color w:val="1A1A1A"/>
          <w:sz w:val="24"/>
          <w:szCs w:val="24"/>
        </w:rPr>
        <w:t>Answer: Please reference question number 2.</w:t>
      </w:r>
    </w:p>
    <w:p w14:paraId="70CCCABE" w14:textId="07C1587B"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101. </w:t>
      </w:r>
      <w:r w:rsidR="001473F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Please provide an inventory of the historical solicitation, supplier, contract, and purchasing data to be migrated, including source systems, record and document counts, file formats, retention requirements, known data-quality issues, and whether attachments currently reside in SharePoint, network drives, or other repositories.</w:t>
      </w:r>
      <w:r w:rsidR="001473F7">
        <w:rPr>
          <w:rFonts w:asciiTheme="majorHAnsi" w:hAnsiTheme="majorHAnsi" w:cstheme="majorHAnsi"/>
          <w:b/>
          <w:color w:val="000000"/>
          <w:sz w:val="24"/>
          <w:szCs w:val="24"/>
        </w:rPr>
        <w:t xml:space="preserve"> </w:t>
      </w:r>
      <w:r w:rsidRPr="001473F7">
        <w:rPr>
          <w:rFonts w:asciiTheme="majorHAnsi" w:hAnsiTheme="majorHAnsi" w:cstheme="majorHAnsi"/>
          <w:i/>
          <w:iCs/>
          <w:color w:val="1A1A1A"/>
          <w:sz w:val="24"/>
          <w:szCs w:val="24"/>
        </w:rPr>
        <w:t>Answer: Please reference question numbers 12 and 58.</w:t>
      </w:r>
    </w:p>
    <w:p w14:paraId="18CCB49C" w14:textId="5542D584" w:rsidR="00E01DAD" w:rsidRPr="00410576" w:rsidRDefault="008A0E6A" w:rsidP="00FA4247">
      <w:pPr>
        <w:spacing w:before="120" w:after="120" w:line="240" w:lineRule="auto"/>
        <w:ind w:left="-540" w:right="-720" w:hanging="630"/>
        <w:rPr>
          <w:rFonts w:asciiTheme="majorHAnsi" w:hAnsiTheme="majorHAnsi" w:cstheme="majorHAnsi"/>
          <w:sz w:val="24"/>
          <w:szCs w:val="24"/>
        </w:rPr>
      </w:pPr>
      <w:r w:rsidRPr="00410576">
        <w:rPr>
          <w:rFonts w:asciiTheme="majorHAnsi" w:hAnsiTheme="majorHAnsi" w:cstheme="majorHAnsi"/>
          <w:b/>
          <w:color w:val="000000"/>
          <w:sz w:val="24"/>
          <w:szCs w:val="24"/>
        </w:rPr>
        <w:t xml:space="preserve">102. </w:t>
      </w:r>
      <w:r w:rsidR="001473F7">
        <w:rPr>
          <w:rFonts w:asciiTheme="majorHAnsi" w:hAnsiTheme="majorHAnsi" w:cstheme="majorHAnsi"/>
          <w:b/>
          <w:color w:val="000000"/>
          <w:sz w:val="24"/>
          <w:szCs w:val="24"/>
        </w:rPr>
        <w:tab/>
      </w:r>
      <w:r w:rsidRPr="00410576">
        <w:rPr>
          <w:rFonts w:asciiTheme="majorHAnsi" w:hAnsiTheme="majorHAnsi" w:cstheme="majorHAnsi"/>
          <w:b/>
          <w:color w:val="000000"/>
          <w:sz w:val="24"/>
          <w:szCs w:val="24"/>
        </w:rPr>
        <w:t>Please confirm that the ownership provisions in Attachment 2A do not transfer ownership of the vendor’s pre-existing SaaS platform, source code, reusable components, data models, tools, documentation, or generalized product enhancements, and that CMAP ownership will be limited to CMAP data and customer-specific deliverables created and paid for under the contract.</w:t>
      </w:r>
      <w:r w:rsidR="001473F7">
        <w:rPr>
          <w:rFonts w:asciiTheme="majorHAnsi" w:hAnsiTheme="majorHAnsi" w:cstheme="majorHAnsi"/>
          <w:b/>
          <w:color w:val="000000"/>
          <w:sz w:val="24"/>
          <w:szCs w:val="24"/>
        </w:rPr>
        <w:t xml:space="preserve"> </w:t>
      </w:r>
      <w:r w:rsidRPr="001473F7">
        <w:rPr>
          <w:rFonts w:asciiTheme="majorHAnsi" w:hAnsiTheme="majorHAnsi" w:cstheme="majorHAnsi"/>
          <w:i/>
          <w:iCs/>
          <w:color w:val="1A1A1A"/>
          <w:sz w:val="24"/>
          <w:szCs w:val="24"/>
        </w:rPr>
        <w:t xml:space="preserve">Answer: Please reference </w:t>
      </w:r>
      <w:r w:rsidR="001473F7">
        <w:rPr>
          <w:rFonts w:asciiTheme="majorHAnsi" w:hAnsiTheme="majorHAnsi" w:cstheme="majorHAnsi"/>
          <w:i/>
          <w:iCs/>
          <w:color w:val="1A1A1A"/>
          <w:sz w:val="24"/>
          <w:szCs w:val="24"/>
        </w:rPr>
        <w:t>RFP</w:t>
      </w:r>
      <w:r w:rsidRPr="001473F7">
        <w:rPr>
          <w:rFonts w:asciiTheme="majorHAnsi" w:hAnsiTheme="majorHAnsi" w:cstheme="majorHAnsi"/>
          <w:i/>
          <w:iCs/>
          <w:color w:val="1A1A1A"/>
          <w:sz w:val="24"/>
          <w:szCs w:val="24"/>
        </w:rPr>
        <w:t xml:space="preserve"> and question number 74.</w:t>
      </w:r>
    </w:p>
    <w:sectPr w:rsidR="00E01DAD" w:rsidRPr="00410576" w:rsidSect="008A0E6A">
      <w:footerReference w:type="default" r:id="rId37"/>
      <w:pgSz w:w="12240" w:h="15840"/>
      <w:pgMar w:top="720" w:right="2250" w:bottom="990" w:left="2430" w:header="720" w:footer="5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A633A" w14:textId="77777777" w:rsidR="005841FB" w:rsidRDefault="005841FB" w:rsidP="00643838">
      <w:pPr>
        <w:spacing w:after="0" w:line="240" w:lineRule="auto"/>
      </w:pPr>
      <w:r>
        <w:separator/>
      </w:r>
    </w:p>
  </w:endnote>
  <w:endnote w:type="continuationSeparator" w:id="0">
    <w:p w14:paraId="2BCB7624" w14:textId="77777777" w:rsidR="005841FB" w:rsidRDefault="005841FB" w:rsidP="006438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01119" w14:textId="3B139C5C" w:rsidR="00FA4247" w:rsidRPr="00FA4247" w:rsidRDefault="008A0E6A" w:rsidP="00FA4247">
    <w:pPr>
      <w:pStyle w:val="Footer"/>
    </w:pPr>
    <w:r>
      <w:rPr>
        <w:noProof/>
        <w:color w:val="4F81BD" w:themeColor="accent1"/>
      </w:rPr>
      <mc:AlternateContent>
        <mc:Choice Requires="wps">
          <w:drawing>
            <wp:anchor distT="0" distB="0" distL="114300" distR="114300" simplePos="0" relativeHeight="251658240" behindDoc="0" locked="0" layoutInCell="1" allowOverlap="1" wp14:anchorId="18B84BA8" wp14:editId="713B1E28">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9D027D9" id="Rectangle 452" o:spid="_x0000_s1026" style="position:absolute;margin-left:0;margin-top:0;width:579.9pt;height:750.3pt;z-index:25165824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Pr>
        <w:color w:val="4F81BD" w:themeColor="accent1"/>
      </w:rPr>
      <w:t xml:space="preserve"> </w:t>
    </w:r>
    <w:r>
      <w:rPr>
        <w:rFonts w:asciiTheme="majorHAnsi" w:eastAsiaTheme="majorEastAsia" w:hAnsiTheme="majorHAnsi" w:cstheme="majorBidi"/>
        <w:color w:val="4F81BD" w:themeColor="accent1"/>
        <w:sz w:val="20"/>
        <w:szCs w:val="20"/>
      </w:rPr>
      <w:t xml:space="preserve">pg. </w:t>
    </w:r>
    <w:r>
      <w:rPr>
        <w:rFonts w:asciiTheme="minorHAnsi" w:hAnsiTheme="minorHAnsi"/>
        <w:color w:val="4F81BD" w:themeColor="accent1"/>
        <w:sz w:val="20"/>
        <w:szCs w:val="20"/>
      </w:rPr>
      <w:fldChar w:fldCharType="begin"/>
    </w:r>
    <w:r>
      <w:rPr>
        <w:color w:val="4F81BD" w:themeColor="accent1"/>
        <w:sz w:val="20"/>
        <w:szCs w:val="20"/>
      </w:rPr>
      <w:instrText xml:space="preserve"> PAGE    \* MERGEFORMAT </w:instrText>
    </w:r>
    <w:r>
      <w:rPr>
        <w:rFonts w:asciiTheme="minorHAnsi" w:hAnsiTheme="minorHAnsi"/>
        <w:color w:val="4F81BD" w:themeColor="accent1"/>
        <w:sz w:val="20"/>
        <w:szCs w:val="20"/>
      </w:rPr>
      <w:fldChar w:fldCharType="separate"/>
    </w:r>
    <w:r>
      <w:rPr>
        <w:rFonts w:asciiTheme="majorHAnsi" w:eastAsiaTheme="majorEastAsia" w:hAnsiTheme="majorHAnsi" w:cstheme="majorBidi"/>
        <w:noProof/>
        <w:color w:val="4F81BD" w:themeColor="accent1"/>
        <w:sz w:val="20"/>
        <w:szCs w:val="20"/>
      </w:rPr>
      <w:t>2</w:t>
    </w:r>
    <w:r>
      <w:rPr>
        <w:rFonts w:asciiTheme="majorHAnsi" w:eastAsiaTheme="majorEastAsia" w:hAnsiTheme="majorHAnsi" w:cstheme="majorBidi"/>
        <w:noProof/>
        <w:color w:val="4F81BD" w:themeColor="accent1"/>
        <w:sz w:val="20"/>
        <w:szCs w:val="20"/>
      </w:rPr>
      <w:fldChar w:fldCharType="end"/>
    </w:r>
    <w:r>
      <w:rPr>
        <w:rFonts w:asciiTheme="majorHAnsi" w:eastAsiaTheme="majorEastAsia" w:hAnsiTheme="majorHAnsi" w:cstheme="majorBidi"/>
        <w:noProof/>
        <w:color w:val="4F81BD" w:themeColor="accent1"/>
        <w:sz w:val="20"/>
        <w:szCs w:val="20"/>
      </w:rPr>
      <w:tab/>
    </w:r>
    <w:r>
      <w:rPr>
        <w:rFonts w:asciiTheme="majorHAnsi" w:eastAsiaTheme="majorEastAsia" w:hAnsiTheme="majorHAnsi" w:cstheme="majorBidi"/>
        <w:noProof/>
        <w:color w:val="4F81BD" w:themeColor="accent1"/>
        <w:sz w:val="20"/>
        <w:szCs w:val="20"/>
      </w:rPr>
      <w:tab/>
    </w:r>
    <w:r w:rsidRPr="008A0E6A">
      <w:rPr>
        <w:b/>
        <w:color w:val="010101"/>
        <w:sz w:val="17"/>
      </w:rPr>
      <w:t>Addendum</w:t>
    </w:r>
    <w:r w:rsidRPr="008A0E6A">
      <w:rPr>
        <w:b/>
        <w:color w:val="010101"/>
        <w:spacing w:val="14"/>
        <w:sz w:val="17"/>
      </w:rPr>
      <w:t xml:space="preserve"> </w:t>
    </w:r>
    <w:r w:rsidRPr="008A0E6A">
      <w:rPr>
        <w:b/>
        <w:color w:val="010101"/>
        <w:sz w:val="17"/>
      </w:rPr>
      <w:t>No_0</w:t>
    </w:r>
    <w:r w:rsidRPr="008A0E6A">
      <w:rPr>
        <w:b/>
        <w:color w:val="2A2A2A"/>
        <w:sz w:val="17"/>
      </w:rPr>
      <w:t>1:</w:t>
    </w:r>
    <w:r w:rsidRPr="006A07AB">
      <w:rPr>
        <w:bCs/>
        <w:color w:val="2A2A2A"/>
        <w:spacing w:val="50"/>
        <w:sz w:val="17"/>
      </w:rPr>
      <w:t xml:space="preserve"> </w:t>
    </w:r>
    <w:r w:rsidRPr="008A0E6A">
      <w:rPr>
        <w:b/>
        <w:color w:val="010101"/>
        <w:sz w:val="16"/>
      </w:rPr>
      <w:t>RFP</w:t>
    </w:r>
    <w:r w:rsidRPr="008A0E6A">
      <w:rPr>
        <w:b/>
        <w:color w:val="010101"/>
        <w:spacing w:val="20"/>
        <w:sz w:val="16"/>
      </w:rPr>
      <w:t xml:space="preserve"> </w:t>
    </w:r>
    <w:r w:rsidRPr="008A0E6A">
      <w:rPr>
        <w:b/>
        <w:color w:val="010101"/>
        <w:sz w:val="17"/>
      </w:rPr>
      <w:t>No</w:t>
    </w:r>
    <w:r w:rsidRPr="006A07AB">
      <w:rPr>
        <w:bCs/>
        <w:color w:val="2A2A2A"/>
        <w:sz w:val="17"/>
      </w:rPr>
      <w:t>.</w:t>
    </w:r>
    <w:r w:rsidRPr="006A07AB">
      <w:rPr>
        <w:bCs/>
        <w:color w:val="2A2A2A"/>
        <w:spacing w:val="-11"/>
        <w:sz w:val="17"/>
      </w:rPr>
      <w:t xml:space="preserve"> </w:t>
    </w:r>
    <w:r w:rsidRPr="006A07AB">
      <w:rPr>
        <w:bCs/>
        <w:color w:val="010101"/>
        <w:spacing w:val="-5"/>
        <w:sz w:val="17"/>
      </w:rPr>
      <w:t>411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67845" w14:textId="77777777" w:rsidR="005841FB" w:rsidRDefault="005841FB" w:rsidP="00643838">
      <w:pPr>
        <w:spacing w:after="0" w:line="240" w:lineRule="auto"/>
      </w:pPr>
      <w:r>
        <w:separator/>
      </w:r>
    </w:p>
  </w:footnote>
  <w:footnote w:type="continuationSeparator" w:id="0">
    <w:p w14:paraId="76B0BE5B" w14:textId="77777777" w:rsidR="005841FB" w:rsidRDefault="005841FB" w:rsidP="006438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2153900"/>
    <w:multiLevelType w:val="hybridMultilevel"/>
    <w:tmpl w:val="FD8451E2"/>
    <w:lvl w:ilvl="0" w:tplc="34784FF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C4040E"/>
    <w:multiLevelType w:val="multilevel"/>
    <w:tmpl w:val="9B66391C"/>
    <w:lvl w:ilvl="0">
      <w:start w:val="1"/>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num w:numId="1" w16cid:durableId="279338730">
    <w:abstractNumId w:val="8"/>
  </w:num>
  <w:num w:numId="2" w16cid:durableId="1084188691">
    <w:abstractNumId w:val="6"/>
  </w:num>
  <w:num w:numId="3" w16cid:durableId="2064983467">
    <w:abstractNumId w:val="5"/>
  </w:num>
  <w:num w:numId="4" w16cid:durableId="561330899">
    <w:abstractNumId w:val="4"/>
  </w:num>
  <w:num w:numId="5" w16cid:durableId="1946956574">
    <w:abstractNumId w:val="7"/>
  </w:num>
  <w:num w:numId="6" w16cid:durableId="1641690084">
    <w:abstractNumId w:val="3"/>
  </w:num>
  <w:num w:numId="7" w16cid:durableId="1572615917">
    <w:abstractNumId w:val="2"/>
  </w:num>
  <w:num w:numId="8" w16cid:durableId="2054577725">
    <w:abstractNumId w:val="1"/>
  </w:num>
  <w:num w:numId="9" w16cid:durableId="162478834">
    <w:abstractNumId w:val="0"/>
  </w:num>
  <w:num w:numId="10" w16cid:durableId="1128889979">
    <w:abstractNumId w:val="10"/>
  </w:num>
  <w:num w:numId="11" w16cid:durableId="15158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23C1"/>
    <w:rsid w:val="0006063C"/>
    <w:rsid w:val="001473F7"/>
    <w:rsid w:val="0015074B"/>
    <w:rsid w:val="00171B50"/>
    <w:rsid w:val="0029639D"/>
    <w:rsid w:val="00326F90"/>
    <w:rsid w:val="00410576"/>
    <w:rsid w:val="00490E2A"/>
    <w:rsid w:val="00525C7F"/>
    <w:rsid w:val="005841FB"/>
    <w:rsid w:val="005B56A7"/>
    <w:rsid w:val="00643838"/>
    <w:rsid w:val="007257FB"/>
    <w:rsid w:val="007B1859"/>
    <w:rsid w:val="008528C9"/>
    <w:rsid w:val="00860EDF"/>
    <w:rsid w:val="008A0E6A"/>
    <w:rsid w:val="009004DE"/>
    <w:rsid w:val="00AA1D8D"/>
    <w:rsid w:val="00AF7D53"/>
    <w:rsid w:val="00B47730"/>
    <w:rsid w:val="00C0116F"/>
    <w:rsid w:val="00C6578C"/>
    <w:rsid w:val="00C72188"/>
    <w:rsid w:val="00C822AD"/>
    <w:rsid w:val="00C87A4D"/>
    <w:rsid w:val="00CB0664"/>
    <w:rsid w:val="00D640F4"/>
    <w:rsid w:val="00DB644B"/>
    <w:rsid w:val="00E01DAD"/>
    <w:rsid w:val="00FA424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43F321"/>
  <w14:defaultImageDpi w14:val="300"/>
  <w15:docId w15:val="{D7BCDD66-3692-4DA7-A344-01D64BC39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CommentReference">
    <w:name w:val="annotation reference"/>
    <w:basedOn w:val="DefaultParagraphFont"/>
    <w:uiPriority w:val="99"/>
    <w:semiHidden/>
    <w:unhideWhenUsed/>
    <w:rsid w:val="00490E2A"/>
    <w:rPr>
      <w:sz w:val="16"/>
      <w:szCs w:val="16"/>
    </w:rPr>
  </w:style>
  <w:style w:type="paragraph" w:styleId="CommentText">
    <w:name w:val="annotation text"/>
    <w:basedOn w:val="Normal"/>
    <w:link w:val="CommentTextChar"/>
    <w:uiPriority w:val="99"/>
    <w:semiHidden/>
    <w:unhideWhenUsed/>
    <w:rsid w:val="00490E2A"/>
    <w:pPr>
      <w:spacing w:line="240" w:lineRule="auto"/>
    </w:pPr>
    <w:rPr>
      <w:sz w:val="20"/>
      <w:szCs w:val="20"/>
    </w:rPr>
  </w:style>
  <w:style w:type="character" w:customStyle="1" w:styleId="CommentTextChar">
    <w:name w:val="Comment Text Char"/>
    <w:basedOn w:val="DefaultParagraphFont"/>
    <w:link w:val="CommentText"/>
    <w:uiPriority w:val="99"/>
    <w:semiHidden/>
    <w:rsid w:val="00490E2A"/>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490E2A"/>
    <w:rPr>
      <w:b/>
      <w:bCs/>
    </w:rPr>
  </w:style>
  <w:style w:type="character" w:customStyle="1" w:styleId="CommentSubjectChar">
    <w:name w:val="Comment Subject Char"/>
    <w:basedOn w:val="CommentTextChar"/>
    <w:link w:val="CommentSubject"/>
    <w:uiPriority w:val="99"/>
    <w:semiHidden/>
    <w:rsid w:val="00490E2A"/>
    <w:rPr>
      <w:rFonts w:ascii="Calibri" w:hAnsi="Calibri"/>
      <w:b/>
      <w:bCs/>
      <w:sz w:val="20"/>
      <w:szCs w:val="20"/>
    </w:rPr>
  </w:style>
  <w:style w:type="character" w:styleId="Hyperlink">
    <w:name w:val="Hyperlink"/>
    <w:basedOn w:val="DefaultParagraphFont"/>
    <w:uiPriority w:val="99"/>
    <w:unhideWhenUsed/>
    <w:rsid w:val="007B1859"/>
    <w:rPr>
      <w:color w:val="0000FF" w:themeColor="hyperlink"/>
      <w:u w:val="single"/>
    </w:rPr>
  </w:style>
  <w:style w:type="character" w:styleId="UnresolvedMention">
    <w:name w:val="Unresolved Mention"/>
    <w:basedOn w:val="DefaultParagraphFont"/>
    <w:uiPriority w:val="99"/>
    <w:semiHidden/>
    <w:unhideWhenUsed/>
    <w:rsid w:val="007B18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mailto:procurements@cmap.illinois.gov"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9EBA46D5E68142A5D41E8B69FAE4D0" ma:contentTypeVersion="11" ma:contentTypeDescription="Create a new document." ma:contentTypeScope="" ma:versionID="c2138260cc02614cc8b734222b30e415">
  <xsd:schema xmlns:xsd="http://www.w3.org/2001/XMLSchema" xmlns:xs="http://www.w3.org/2001/XMLSchema" xmlns:p="http://schemas.microsoft.com/office/2006/metadata/properties" xmlns:ns3="fe553b16-0d43-4e7b-8247-38eba8a1239e" targetNamespace="http://schemas.microsoft.com/office/2006/metadata/properties" ma:root="true" ma:fieldsID="9b6f3e6763900edb751ba8d9c968e0c3" ns3:_="">
    <xsd:import namespace="fe553b16-0d43-4e7b-8247-38eba8a1239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553b16-0d43-4e7b-8247-38eba8a1239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fe553b16-0d43-4e7b-8247-38eba8a1239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7E6660-69A2-4780-B6CA-1220B8299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553b16-0d43-4e7b-8247-38eba8a123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D4E99D75-88AC-4969-9567-F14AECF4DBE7}">
  <ds:schemaRefs>
    <ds:schemaRef ds:uri="http://schemas.microsoft.com/office/2006/metadata/properties"/>
    <ds:schemaRef ds:uri="http://schemas.microsoft.com/office/infopath/2007/PartnerControls"/>
    <ds:schemaRef ds:uri="fe553b16-0d43-4e7b-8247-38eba8a1239e"/>
  </ds:schemaRefs>
</ds:datastoreItem>
</file>

<file path=customXml/itemProps4.xml><?xml version="1.0" encoding="utf-8"?>
<ds:datastoreItem xmlns:ds="http://schemas.openxmlformats.org/officeDocument/2006/customXml" ds:itemID="{74D62ED6-2694-49B1-914F-38742063EF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4887</Words>
  <Characters>27861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32683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Yolanda Martin</dc:creator>
  <cp:keywords/>
  <dc:description>generated by python-docx</dc:description>
  <cp:lastModifiedBy>Yolanda Martin</cp:lastModifiedBy>
  <cp:revision>2</cp:revision>
  <dcterms:created xsi:type="dcterms:W3CDTF">2026-11-06T21:23:00Z</dcterms:created>
  <dcterms:modified xsi:type="dcterms:W3CDTF">2026-11-06T21:23:00Z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0x010100C09EBA46D5E68142A5D41E8B69FAE4D0</vt:lpwstr>
  </property>
  <property fmtid="{D5CDD505-2E9C-101B-9397-08002B2CF9AE}" pid="3" name="MSIP_Label_70499eb2-e279-4942-bd63-d5ebf8ec43c8_Enabled">
    <vt:lpwstr>true</vt:lpwstr>
  </property>
  <property fmtid="{D5CDD505-2E9C-101B-9397-08002B2CF9AE}" pid="4" name="MSIP_Label_70499eb2-e279-4942-bd63-d5ebf8ec43c8_SetDate">
    <vt:lpwstr>2026-11-06T21:23:50Z</vt:lpwstr>
  </property>
  <property fmtid="{D5CDD505-2E9C-101B-9397-08002B2CF9AE}" pid="5" name="MSIP_Label_70499eb2-e279-4942-bd63-d5ebf8ec43c8_Method">
    <vt:lpwstr>Standard</vt:lpwstr>
  </property>
  <property fmtid="{D5CDD505-2E9C-101B-9397-08002B2CF9AE}" pid="6" name="MSIP_Label_70499eb2-e279-4942-bd63-d5ebf8ec43c8_Name">
    <vt:lpwstr>defa4170-0d19-0005-0004-bc88714345d2</vt:lpwstr>
  </property>
  <property fmtid="{D5CDD505-2E9C-101B-9397-08002B2CF9AE}" pid="7" name="MSIP_Label_70499eb2-e279-4942-bd63-d5ebf8ec43c8_SiteId">
    <vt:lpwstr>43b185b9-e6d9-45a5-8e36-4c08dc0ab1a2</vt:lpwstr>
  </property>
  <property fmtid="{D5CDD505-2E9C-101B-9397-08002B2CF9AE}" pid="8" name="MSIP_Label_70499eb2-e279-4942-bd63-d5ebf8ec43c8_ActionId">
    <vt:lpwstr>65581123-dc83-43ec-abf8-475cba848100</vt:lpwstr>
  </property>
  <property fmtid="{D5CDD505-2E9C-101B-9397-08002B2CF9AE}" pid="9" name="MSIP_Label_70499eb2-e279-4942-bd63-d5ebf8ec43c8_ContentBits">
    <vt:lpwstr>0</vt:lpwstr>
  </property>
  <property fmtid="{D5CDD505-2E9C-101B-9397-08002B2CF9AE}" pid="10" name="MSIP_Label_70499eb2-e279-4942-bd63-d5ebf8ec43c8_Tag">
    <vt:lpwstr>10, 3, 0, 1</vt:lpwstr>
  </property>
</Properties>
</file>